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hanging="0"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ind w:hanging="0"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11164" w:type="dxa"/>
        <w:jc w:val="left"/>
        <w:tblInd w:w="-9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4028"/>
        <w:gridCol w:w="1362"/>
        <w:gridCol w:w="2944"/>
        <w:gridCol w:w="1588"/>
      </w:tblGrid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iniciativa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 la iniciativa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 quien coordina la prueba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Cargo</w:t>
            </w:r>
          </w:p>
        </w:tc>
      </w:tr>
      <w:tr>
        <w:trPr/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Segoe UI" w:hAnsi="Segoe UI" w:eastAsia="Segoe UI" w:cs="Segoe UI"/>
                <w:b w:val="false"/>
                <w:bCs w:val="false"/>
                <w:color w:val="000000"/>
                <w:kern w:val="0"/>
                <w:sz w:val="24"/>
                <w:szCs w:val="24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868112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1"/>
                <w:szCs w:val="21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olor w:themeColor="dark1" w:val="000000"/>
                <w:kern w:val="0"/>
                <w:sz w:val="21"/>
                <w:szCs w:val="21"/>
                <w:lang w:val="es-SV" w:eastAsia="en-US" w:bidi="ar-SA"/>
              </w:rPr>
              <w:t>Desarrollo Nuevas APIs Tokenizacion-Mastercard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Segoe UI" w:hAnsi="Segoe UI" w:eastAsia="Times New Roman" w:cs="Helv"/>
                <w:b w:val="false"/>
                <w:bCs w:val="false"/>
                <w:i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30/04/2025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Segoe UI" w:hAnsi="Segoe UI" w:eastAsia="Times New Roman" w:cs="Helv"/>
                <w:b w:val="false"/>
                <w:bCs w:val="false"/>
                <w:i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Ricardo Hernández Esquivel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 w:val="false"/>
              <w:spacing w:before="0" w:after="0"/>
              <w:jc w:val="center"/>
              <w:rPr>
                <w:rFonts w:ascii="Segoe UI" w:hAnsi="Segoe UI" w:eastAsia="Times New Roman" w:cs="Helv"/>
                <w:b w:val="false"/>
                <w:bCs w:val="false"/>
                <w:i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Desarrollador</w:t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  <w:r>
        <w:br w:type="page"/>
      </w:r>
    </w:p>
    <w:tbl>
      <w:tblPr>
        <w:tblW w:w="11194" w:type="dxa"/>
        <w:jc w:val="left"/>
        <w:tblInd w:w="-9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6166"/>
        <w:gridCol w:w="1130"/>
        <w:gridCol w:w="1135"/>
        <w:gridCol w:w="1524"/>
      </w:tblGrid>
      <w:tr>
        <w:trPr/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before="0" w:after="0"/>
              <w:jc w:val="center"/>
              <w:rPr>
                <w:rFonts w:ascii="Segoe UI" w:hAnsi="Segoe UI" w:eastAsia="Segoe UI" w:cs="Segoe UI"/>
                <w:b w:val="false"/>
                <w:bCs w:val="false"/>
                <w:color w:val="000000"/>
                <w:kern w:val="0"/>
                <w:sz w:val="24"/>
                <w:szCs w:val="24"/>
                <w:lang w:val="es-SV" w:eastAsia="en-US" w:bidi="ar-SA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873604</w:t>
            </w:r>
          </w:p>
        </w:tc>
        <w:tc>
          <w:tcPr>
            <w:tcW w:w="6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1"/>
                <w:szCs w:val="21"/>
              </w:rPr>
            </w:pPr>
            <w:r>
              <w:rPr>
                <w:rFonts w:eastAsia="Times New Roman" w:cs="Helv" w:ascii="Segoe UI" w:hAnsi="Segoe UI"/>
                <w:b w:val="false"/>
                <w:bCs w:val="false"/>
                <w:i/>
                <w:iCs/>
                <w:caps w:val="false"/>
                <w:smallCaps w:val="false"/>
                <w:color w:themeColor="dark1" w:val="000000"/>
                <w:spacing w:val="0"/>
                <w:kern w:val="0"/>
                <w:sz w:val="21"/>
                <w:szCs w:val="21"/>
                <w:lang w:val="es-SV" w:eastAsia="en-US" w:bidi="ar-SA"/>
              </w:rPr>
              <w:t>Desarrollos Fiserv para TokenizacionMC</w:t>
            </w:r>
          </w:p>
        </w:tc>
        <w:tc>
          <w:tcPr>
            <w:tcW w:w="37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Resultado</w:t>
            </w:r>
          </w:p>
        </w:tc>
      </w:tr>
      <w:tr>
        <w:trPr/>
        <w:tc>
          <w:tcPr>
            <w:tcW w:w="7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both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Criterios de aceptación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Aprobado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Pendiente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CE1" w:val="clea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themeColor="dark1" w:val="000000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b/>
                <w:bCs w:val="false"/>
                <w:iCs w:val="false"/>
                <w:color w:themeColor="dark1" w:val="000000"/>
                <w:sz w:val="18"/>
                <w:szCs w:val="18"/>
                <w:lang w:val="es-MX"/>
              </w:rPr>
              <w:t>Observaciones</w:t>
            </w:r>
          </w:p>
        </w:tc>
      </w:tr>
      <w:tr>
        <w:trPr>
          <w:trHeight w:val="1255" w:hRule="atLeast"/>
        </w:trPr>
        <w:tc>
          <w:tcPr>
            <w:tcW w:w="7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widowControl w:val="false"/>
              <w:ind w:hanging="0" w:left="720"/>
              <w:rPr>
                <w:rFonts w:eastAsia="Calibri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</w:pP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6"/>
              </w:numPr>
              <w:ind w:hanging="0" w:left="720"/>
              <w:rPr>
                <w:rFonts w:eastAsia="Calibri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</w:pPr>
            <w:r>
              <w:rPr>
                <w:rFonts w:eastAsia="Calibri" w:cs="Times New Roman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s-ES" w:eastAsia="es-SV" w:bidi="ar-SA"/>
              </w:rPr>
              <w:t>Api Check Elegibility flujo Eveluate Elegibility para MDES</w:t>
            </w:r>
          </w:p>
          <w:p>
            <w:pPr>
              <w:pStyle w:val="ListParagraph"/>
              <w:widowControl w:val="false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/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Esta api pertenece a TokenizationAPI y se desarrollan la adecuaciones para el flujo de MasterCard(MDES), la intención de esta adecuación es verificar que las tarjetas de crédito que el cliente intenta aprovisionar sean elegibles para su digitalización.</w:t>
            </w:r>
          </w:p>
          <w:p>
            <w:pPr>
              <w:pStyle w:val="ListParagraph"/>
              <w:widowControl w:val="false"/>
              <w:rPr>
                <w:rFonts w:ascii="Calibri" w:hAnsi="Calibri"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2"/>
                <w:numId w:val="4"/>
              </w:numPr>
              <w:rPr>
                <w:rFonts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JSON Body Request: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{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"requestID": "TSP1663865723414",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"processID": "1663865723413",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"institutionCode": "AGRIC-180",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"vaultIdentification": "MDES",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"walletID": "4BH1-BQVW-9U6L-IMDU",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"tokenRequestorID": "40010030273",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"tokenRequestorName": "Apple Pay",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"tokenRefID": "DNITHE413226560923455507",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"PANRefID": "V-5823193725678501161332",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"encryptedCardInfo": {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"MACLength": 16,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"iv": "07028E2505FC8D000422AC08",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"encryptedData": "EOGIw4t79CHR5fihYTs4NSTe6d+TDSto55xPRVG2JfFfWQYmzPmWwPZ6tWJcsMc4nK6dfIrv4rka4rKh6WwpBrlvKs0yJJWeJOkXdVnNR6R9kOr6PY3d9bwRa+JSfzdYrc1xJulRB+i4Vb7xITQ+q06hP7yFBqlNQ0q8cpTi7tP8VIzyz13JyDY=",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"algorithm": "aes-gcm128"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},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24"/>
              </w:rPr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 xml:space="preserve">    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"userLanguage": "eng",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"source": "MOBILE_APP",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"recommendedDecision": "GREEN",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ab/>
              <w:t>"tokenType": "ECOM"</w:t>
            </w:r>
          </w:p>
          <w:p>
            <w:pPr>
              <w:pStyle w:val="BodyText"/>
              <w:widowControl w:val="false"/>
              <w:spacing w:lineRule="auto" w:line="240" w:before="0" w:after="6"/>
              <w:ind w:hanging="0" w:left="720"/>
              <w:rPr>
                <w:b w:val="false"/>
                <w:bCs w:val="false"/>
                <w:i w:val="false"/>
                <w:i w:val="false"/>
                <w:iCs w:val="false"/>
                <w:sz w:val="14"/>
                <w:szCs w:val="24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4"/>
                <w:szCs w:val="24"/>
                <w:lang w:val="es-ES" w:eastAsia="es-SV" w:bidi="ar-SA"/>
              </w:rPr>
              <w:t>}</w:t>
            </w:r>
          </w:p>
          <w:p>
            <w:pPr>
              <w:pStyle w:val="BodyText"/>
              <w:widowControl w:val="false"/>
              <w:rPr>
                <w:rFonts w:ascii="Calibri" w:hAnsi="Calibri"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Calibri" w:hAnsi="Calibri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ind w:hanging="0" w:left="1440"/>
              <w:rPr>
                <w:rFonts w:ascii="Calibri" w:hAnsi="Calibri"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Flujo Verde MasterCard  (return Code 00)</w:t>
            </w:r>
          </w:p>
          <w:p>
            <w:pPr>
              <w:pStyle w:val="ListParagraph"/>
              <w:widowControl w:val="false"/>
              <w:numPr>
                <w:ilvl w:val="1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rFonts w:eastAsia="Calibri" w:cs="Times New Roman"/>
                <w:b/>
                <w:bCs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Para realizar el flujo de verificación de tarjetas de Crédito (MasterCard) el valor en el campo vaultIdentification = “MDES” y la información en el campo encrypData debe ser con los bines de TDC MDES.</w:t>
            </w:r>
          </w:p>
          <w:p>
            <w:pPr>
              <w:pStyle w:val="ListParagraph"/>
              <w:widowControl w:val="false"/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4"/>
              </w:numPr>
              <w:rPr>
                <w:i w:val="false"/>
                <w:i w:val="false"/>
                <w:iCs w:val="false"/>
              </w:rPr>
            </w:pPr>
            <w:r>
              <w:rPr>
                <w:rFonts w:eastAsia="Calibri" w:cs="Times New Roman"/>
                <w:bCs w:val="false"/>
                <w:i w:val="false"/>
                <w:iCs w:val="false"/>
                <w:color w:val="auto"/>
                <w:kern w:val="0"/>
                <w:sz w:val="22"/>
                <w:szCs w:val="22"/>
                <w:lang w:val="es-ES" w:eastAsia="en-US" w:bidi="ar-SA"/>
              </w:rPr>
              <w:t>Request: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ind w:hanging="0" w:left="1440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483610" cy="2572385"/>
                  <wp:effectExtent l="0" t="0" r="0" b="0"/>
                  <wp:wrapSquare wrapText="largest"/>
                  <wp:docPr id="1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3610" cy="257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ind w:hanging="0" w:left="1080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  <w:p>
            <w:pPr>
              <w:pStyle w:val="ListParagraph"/>
              <w:widowControl w:val="false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ind w:hanging="0" w:left="1080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  <w:p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kern w:val="0"/>
                <w:sz w:val="21"/>
                <w:szCs w:val="21"/>
                <w:lang w:bidi="ar-SA"/>
              </w:rPr>
            </w:pPr>
            <w:r>
              <w:rPr>
                <w:rFonts w:cs="Times New Roman"/>
                <w:kern w:val="0"/>
                <w:sz w:val="21"/>
                <w:szCs w:val="21"/>
                <w:lang w:bidi="ar-SA"/>
              </w:rPr>
              <w:t xml:space="preserve">EndPoint </w:t>
            </w:r>
            <w:r>
              <w:rPr>
                <w:rFonts w:cs="Times New Roman"/>
                <w:kern w:val="0"/>
                <w:sz w:val="21"/>
                <w:szCs w:val="21"/>
                <w:lang w:bidi="ar-SA"/>
              </w:rPr>
              <w:t>de Fiserv MDES</w:t>
            </w:r>
            <w:r>
              <w:rPr>
                <w:rFonts w:cs="Times New Roman"/>
                <w:kern w:val="0"/>
                <w:sz w:val="21"/>
                <w:szCs w:val="21"/>
                <w:lang w:bidi="ar-SA"/>
              </w:rPr>
              <w:t>:</w:t>
            </w:r>
          </w:p>
          <w:p>
            <w:pPr>
              <w:pStyle w:val="Normal"/>
              <w:widowControl w:val="false"/>
              <w:numPr>
                <w:ilvl w:val="1"/>
                <w:numId w:val="3"/>
              </w:numPr>
              <w:rPr>
                <w:rFonts w:ascii="Candara Light" w:hAnsi="Candara Light" w:eastAsia="Calibri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5"/>
                <w:szCs w:val="15"/>
                <w:lang w:val="es-ES" w:eastAsia="es-SV"/>
              </w:rPr>
            </w:pPr>
            <w:r>
              <w:rPr>
                <w:rFonts w:eastAsia="Calibri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sz w:val="15"/>
                <w:szCs w:val="15"/>
                <w:lang w:val="es-ES" w:eastAsia="es-SV"/>
              </w:rPr>
              <w:t>https://connect-cert.fiservapps.com/fv-gfs-apis-tsp-mc-ca/v1/card-tokenization/eligibility/evaluate</w:t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cs="Times New Roman"/>
                <w:i/>
                <w:i/>
                <w:iCs/>
                <w:color w:val="auto"/>
                <w:kern w:val="0"/>
                <w:sz w:val="21"/>
                <w:szCs w:val="21"/>
                <w:lang w:eastAsia="en-US" w:bidi="ar-SA"/>
              </w:rPr>
            </w:pPr>
            <w:r>
              <w:rPr>
                <w:rFonts w:cs="Times New Roman"/>
                <w:i/>
                <w:iCs/>
                <w:color w:val="auto"/>
                <w:kern w:val="0"/>
                <w:sz w:val="21"/>
                <w:szCs w:val="21"/>
                <w:lang w:eastAsia="en-US" w:bidi="ar-SA"/>
              </w:rPr>
              <w:t>Request enviado a Fiserv MDES:</w:t>
            </w:r>
          </w:p>
          <w:p>
            <w:pPr>
              <w:pStyle w:val="ListParagraph"/>
              <w:widowControl w:val="false"/>
              <w:rPr>
                <w:rFonts w:eastAsia="Calibri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  <w:p>
            <w:pPr>
              <w:pStyle w:val="Normal"/>
              <w:widowControl w:val="false"/>
              <w:rPr>
                <w:rFonts w:ascii="Candara Light" w:hAnsi="Candara Light" w:eastAsia="Calibri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6"/>
                <w:szCs w:val="16"/>
                <w:lang w:val="es-ES" w:eastAsia="es-SV" w:bidi="ar-SA"/>
              </w:rPr>
            </w:pPr>
            <w:r>
              <w:rPr>
                <w:rFonts w:eastAsia="Calibri" w:cs="Times New Roman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6"/>
                <w:szCs w:val="16"/>
                <w:lang w:val="es-ES" w:eastAsia="es-SV" w:bidi="ar-SA"/>
              </w:rPr>
              <w:t>Request a enviar ==&gt; {"encryptData":"eyJjdHkiOiJ0ZXh0L3BsYWluIiwiZW5jIjoiQTI1NkdDTSIsImFsZyI6IlJTQS1PQUVQLTI1NiJ9.iD3H8T6OjVVE8robESCqqWi9crQceCOAQB6Amk7ELHLvjy9D0qcPoL-0rmMc4R6FL-EySJevKoueOnXN1Ogvjnr09ebNp1fHaeauow8w2tRno6mkGjBHGgXhShQxX3ADLGwffT6e0hhVFHnKP0Fjcp4HkGqG5Qb6pAjrr53PnECYUkyr6eMrmvf0MHoqgCnbiRHXIzv_bvVsR42jH0lOVOnSJASqJEYuPb4oOJn1kNyaH-Uoxb68tUKuuFhrDWEITVd7hEtm-nt0qwDMuNLFtYKYWLIL1yXziEQyqq6ddwQ74161woShOM26haYCQZUHTALzq93ZN8R6Qz0rNPL1Iw.NoPTaTvxVnWZvIAX.sUdsNHo69TpAre71HaTUPSp_icJn5w2mKkgCxpjqq3F0nq7jdCfECkvD2_jMqN8g8MtktkdGpAmfg6UzN-e8Wd9IK2iBck9BuQF_MUTuoKzgl7BwDsaJGjcqY8AoR2blPMdE4LW4xNeEL6NLpPjHppepMFCMz8kjFWAEU7hG5yJrS8va9B6DqmFNrRRChubgmNgP_gJjWSVULg3RQMRoBHJ6RsMBstCVS1ob1T7v_FV93kKK1hw6pXhXkvixgr_8hnEzayI6UVJxj2CYd8LYXEhz76lDLR2RZpSt5S_iMwPWTTlZtW7Ev1e-40uIWWMmHJUCgWqGU8JeMd7Shvqq2DxXqIxjplM3NUKg83US.ZoP1MPxbtTkjoSdd25eoCg","tokenInvolvement":{"account":{"accountSource":"ACCOUNT_ADDED_VIA_APPLICATION"},"token":{"tokenReferenceId":"DNITHE413226560923455507","tokenType":"EMBEDDED_SE","tokenStorageLocation":"DEVICE_MEMORY","tokenServiceProvider":{"tokenServiceProviderName":"Mastercard"},"tokenRequestor":{"tokenRequestorId":"40010030273"},"walletProvider":{"account":{"accountId":"V-5823193725678501161332"}},"activeTokenCount":"1","dataValidDateTime":"2026-04-29T15:52:50.7463273Z"}}}</w:t>
            </w:r>
          </w:p>
          <w:p>
            <w:pPr>
              <w:pStyle w:val="Normal"/>
              <w:widowControl w:val="false"/>
              <w:rPr>
                <w:rFonts w:ascii="Candara Light" w:hAnsi="Candara Light" w:eastAsia="Calibri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6"/>
                <w:szCs w:val="16"/>
                <w:lang w:val="es-ES" w:eastAsia="es-SV" w:bidi="ar-SA"/>
              </w:rPr>
            </w:pPr>
            <w:r>
              <w:rPr>
                <w:rFonts w:eastAsia="Calibri" w:cs="Times New Roman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6"/>
                <w:szCs w:val="16"/>
                <w:lang w:val="es-ES" w:eastAsia="es-SV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rPr>
                <w:b/>
                <w:bCs/>
                <w:i/>
                <w:i/>
                <w:iCs/>
              </w:rPr>
            </w:pPr>
            <w:r>
              <w:rPr>
                <w:i/>
                <w:iCs/>
                <w:sz w:val="21"/>
                <w:szCs w:val="21"/>
              </w:rPr>
              <w:t>Respuesta de Fiserv MDES:</w:t>
            </w:r>
          </w:p>
          <w:p>
            <w:pPr>
              <w:pStyle w:val="ListParagraph"/>
              <w:widowControl w:val="false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widowControl w:val="false"/>
              <w:rPr>
                <w:rFonts w:ascii="Candara Light" w:hAnsi="Candara Light" w:eastAsia="Calibri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6"/>
                <w:szCs w:val="16"/>
                <w:lang w:val="es-ES" w:eastAsia="es-SV"/>
              </w:rPr>
            </w:pPr>
            <w:r>
              <w:rPr>
                <w:rFonts w:eastAsia="Calibri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sz w:val="16"/>
                <w:szCs w:val="16"/>
                <w:lang w:val="es-ES" w:eastAsia="es-SV"/>
              </w:rPr>
              <w:t>=&gt; Response Fiserv MDES: {encryptData:eyJjdHkiOiJKV0UiLCJ0eXAiOiJKT1NFIiwiaWF0IjoxNzc3NDc3NjcyLCJhbGciOiJQUzI1NiIsImtpZCI6InByb3AuZ2V0SXNzdWVySndzS2lkKCkifQ.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.WpFJkHx8iTxQdvfTWiks-Nq5rCZo9RvN_WpPAYNNAqOeI1oBNjn_khS9Fu5kDmiMIUtV2zaRSSL4DY8voKsKsmJsVcgdrfD2gA6lQCllukMNQreJTff_UuD8HYMSYncFeOdmEFTVwxdSZHyCX5FCECKaUsdiNSb9ILgos30UXlo6BnMUAhQ3fOl5BGSfXOoDFS5PtplzTQZLnv9KQKTlCiF9GFBG6SMgCYWbUYRkBglrSxWMEVG11eQl_ahRNnbJJ6OVhiweEBbjdc18e5Mzu794oBYLjfRoVRcgUA6HCB_mjY2WxkVkwm2CRrD-IgaW9PTdwxVgRUh3J0SOh-_5Og, eligibilityDecision:Eligible, eligibilityStatusCode:85, eligibilityStatusReason:ELIGIBLE, VERIFY CH, eligibilityErrorCode:}</w:t>
            </w:r>
          </w:p>
          <w:p>
            <w:pPr>
              <w:pStyle w:val="Normal"/>
              <w:widowControl w:val="false"/>
              <w:rPr>
                <w:rFonts w:ascii="Candara Light" w:hAnsi="Candara Light" w:eastAsia="Calibri"/>
                <w:b/>
                <w:bCs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16"/>
                <w:szCs w:val="16"/>
                <w:lang w:val="es-ES" w:eastAsia="es-SV"/>
              </w:rPr>
            </w:pPr>
            <w:r>
              <w:rPr>
                <w:rFonts w:eastAsia="Calibri" w:ascii="Candara Light" w:hAnsi="Candara Light"/>
                <w:b/>
                <w:bCs/>
                <w:i w:val="false"/>
                <w:iCs w:val="false"/>
                <w:caps w:val="false"/>
                <w:smallCaps w:val="false"/>
                <w:color w:val="000000"/>
                <w:spacing w:val="0"/>
                <w:sz w:val="16"/>
                <w:szCs w:val="16"/>
                <w:lang w:val="es-ES" w:eastAsia="es-SV"/>
              </w:rPr>
            </w:r>
          </w:p>
          <w:p>
            <w:pPr>
              <w:pStyle w:val="ListParagraph"/>
              <w:widowControl w:val="false"/>
              <w:numPr>
                <w:ilvl w:val="1"/>
                <w:numId w:val="5"/>
              </w:numPr>
              <w:rPr/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  <w:t>Response de API para Flujo Verde: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ind w:hanging="0" w:left="1440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10915" cy="1176655"/>
                  <wp:effectExtent l="0" t="0" r="0" b="0"/>
                  <wp:wrapSquare wrapText="largest"/>
                  <wp:docPr id="2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091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b/>
                <w:color w:val="FFFFFF"/>
                <w:sz w:val="32"/>
                <w:szCs w:val="32"/>
                <w:lang w:val="es-MX"/>
              </w:rPr>
            </w:pPr>
            <w:r>
              <w:rPr>
                <w:rFonts w:cs="Arial" w:ascii="Arial" w:hAnsi="Arial"/>
                <w:b/>
                <w:color w:val="FFFFFF"/>
                <w:sz w:val="32"/>
                <w:szCs w:val="32"/>
                <w:lang w:val="es-MX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color w:val="FFFFFF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color w:val="FFFFFF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 w:val="false"/>
              <w:spacing w:before="0" w:after="240"/>
              <w:jc w:val="center"/>
              <w:rPr>
                <w:rFonts w:ascii="Calibri" w:hAnsi="Calibri" w:eastAsia="Calibri" w:cs="Times New Roman"/>
                <w:b w:val="false"/>
                <w:i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pPr>
            <w:r>
              <w:rPr>
                <w:rFonts w:eastAsia="Calibri" w:cs="Times New Roman" w:ascii="Calibri" w:hAnsi="Calibri"/>
                <w:b w:val="false"/>
                <w:i/>
                <w:iCs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s-ES" w:eastAsia="es-SV" w:bidi="ar-SA"/>
              </w:rPr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jc w:val="center"/>
              <w:rPr>
                <w:rFonts w:ascii="Arial" w:hAnsi="Arial" w:cs="Arial"/>
                <w:color w:val="FFFFFF"/>
                <w:sz w:val="18"/>
                <w:szCs w:val="18"/>
                <w:lang w:val="es-MX"/>
              </w:rPr>
            </w:pPr>
            <w:r>
              <w:rPr>
                <w:rFonts w:cs="Arial" w:ascii="Arial" w:hAnsi="Arial"/>
                <w:color w:val="FFFFFF"/>
                <w:sz w:val="18"/>
                <w:szCs w:val="18"/>
                <w:lang w:val="es-MX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40"/>
        <w:ind w:firstLine="720"/>
        <w:jc w:val="righ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041" w:gutter="0" w:header="0" w:top="0" w:footer="520" w:bottom="80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Candara Light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doNotHyphenateCap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hanging="0"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hanging="0"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hanging="0"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hanging="0"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hanging="0"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hanging="0"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FootnoteCharacters">
    <w:name w:val="Footnote Characters"/>
    <w:basedOn w:val="DefaultParagraphFont"/>
    <w:qFormat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qFormat/>
    <w:rPr>
      <w:rFonts w:ascii="Tahoma" w:hAnsi="Tahoma" w:cs="Tahoma"/>
      <w:sz w:val="16"/>
      <w:szCs w:val="16"/>
      <w:lang w:val="es-SV" w:eastAsia="en-US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NormalIndent">
    <w:name w:val="Normal Indent"/>
    <w:basedOn w:val="Normal"/>
    <w:qFormat/>
    <w:pPr>
      <w:ind w:hanging="0" w:left="360"/>
    </w:pPr>
    <w:rPr/>
  </w:style>
  <w:style w:type="paragraph" w:styleId="TOC4">
    <w:name w:val="TOC 4"/>
    <w:basedOn w:val="TOC1"/>
    <w:pPr>
      <w:ind w:hanging="0"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hanging="0" w:left="2160"/>
    </w:pPr>
    <w:rPr/>
  </w:style>
  <w:style w:type="paragraph" w:styleId="TOC3">
    <w:name w:val="TOC 3"/>
    <w:basedOn w:val="TOC2"/>
    <w:pPr>
      <w:ind w:hanging="0" w:left="2880"/>
    </w:pPr>
    <w:rPr/>
  </w:style>
  <w:style w:type="paragraph" w:styleId="TOC2">
    <w:name w:val="TOC 2"/>
    <w:basedOn w:val="TOC1"/>
    <w:pPr>
      <w:ind w:hanging="0"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hanging="0"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hanging="0"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hanging="0"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hanging="0"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hanging="274" w:left="1094"/>
    </w:pPr>
    <w:rPr/>
  </w:style>
  <w:style w:type="paragraph" w:styleId="Text-bulletsubtight">
    <w:name w:val="Text - bullet sub tight"/>
    <w:basedOn w:val="Text-bullettight"/>
    <w:qFormat/>
    <w:pPr>
      <w:ind w:hanging="274"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hanging="0"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hanging="0"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hanging="0"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hanging="0"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1"/>
      </w:numPr>
    </w:pPr>
    <w:rPr/>
  </w:style>
  <w:style w:type="paragraph" w:styleId="Parrafo1">
    <w:name w:val="Parrafo 1"/>
    <w:basedOn w:val="BodyText"/>
    <w:qFormat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false"/>
      <w:spacing w:lineRule="auto" w:line="276" w:before="0" w:after="0"/>
      <w:ind w:hanging="0"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987</TotalTime>
  <Application>LibreOffice/24.2.2.2$Windows_x86 LibreOffice_project/d56cc158d8a96260b836f100ef4b4ef25d6f1a01</Application>
  <AppVersion>15.0000</AppVersion>
  <Pages>4</Pages>
  <Words>216</Words>
  <Characters>4453</Characters>
  <CharactersWithSpaces>4690</CharactersWithSpaces>
  <Paragraphs>52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2022-06-01T17:49:00Z</dcterms:created>
  <dc:creator>aggiron</dc:creator>
  <dc:description>Información resultado de reunión de trabajo para plantear la solución al requerimiento.</dc:description>
  <dc:language>es-AR</dc:language>
  <cp:lastModifiedBy/>
  <cp:lastPrinted>2024-08-09T15:39:39Z</cp:lastPrinted>
  <dcterms:modified xsi:type="dcterms:W3CDTF">2026-04-29T10:45:07Z</dcterms:modified>
  <cp:revision>77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