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Análisis de Bajo Nivel - CheckElegibility (FLUJO VERDE)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Bajo la intención de realizar las respectivas validaciones para ver si la tarjeta que el cliente esta intentando dar de alta es o no es elegible para aprovisionar, esto para el uso de billeteras como (Apple Pay, Google Wallet etc), con esquemas internacionales como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VISA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Mastercard.</w:t>
      </w:r>
    </w:p>
    <w:p>
      <w:pPr>
        <w:pStyle w:val="Normal"/>
        <w:bidi w:val="0"/>
        <w:ind w:hanging="0" w:start="709" w:end="0"/>
        <w:jc w:val="both"/>
        <w:rPr>
          <w:rFonts w:ascii="Calibri" w:hAnsi="Calibri"/>
          <w:b w:val="false"/>
          <w:bCs w:val="false"/>
          <w:color w:val="00000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hd w:fill="FFFFFE" w:val="clear"/>
        </w:rPr>
      </w:r>
    </w:p>
    <w:p>
      <w:pPr>
        <w:pStyle w:val="Normal"/>
        <w:bidi w:val="0"/>
        <w:ind w:hanging="0" w:start="709" w:end="0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este caso el API principal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CheckElegibility</w:t>
      </w:r>
      <w:r>
        <w:rPr>
          <w:rFonts w:ascii="Calibri" w:hAnsi="Calibri"/>
          <w:b/>
          <w:bCs/>
          <w:color w:val="3465A4"/>
          <w:sz w:val="20"/>
          <w:szCs w:val="20"/>
          <w:shd w:fill="FFFFFE" w:val="clear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recibe estas notificaciones y las convierte en un formato unificado para que los sistemas internos puedan procesarlas de manera consistente.</w:t>
      </w:r>
    </w:p>
    <w:p>
      <w:pPr>
        <w:pStyle w:val="Normal"/>
        <w:bidi w:val="0"/>
        <w:ind w:hanging="0" w:start="709" w:end="0"/>
        <w:jc w:val="both"/>
        <w:rPr>
          <w:color w:val="000000"/>
          <w:shd w:fill="FFFFFE" w:val="clear"/>
        </w:rPr>
      </w:pPr>
      <w:r>
        <w:rPr>
          <w:color w:val="000000"/>
          <w:shd w:fill="FFFFFE" w:val="clear"/>
        </w:rPr>
      </w:r>
    </w:p>
    <w:p>
      <w:pPr>
        <w:pStyle w:val="BodyText"/>
        <w:bidi w:val="0"/>
        <w:ind w:hanging="0" w:start="709" w:end="0"/>
        <w:jc w:val="both"/>
        <w:rPr/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Sin embargo,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no toda la información puede unificarse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, porque: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/>
      </w:pPr>
      <w:r>
        <w:rPr>
          <w:rFonts w:ascii="Calibri" w:hAnsi="Calibri"/>
          <w:b/>
          <w:bCs/>
          <w:sz w:val="20"/>
          <w:szCs w:val="20"/>
        </w:rPr>
        <w:t>VIS</w:t>
      </w: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  <w:t>A y Mastercard</w:t>
      </w: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contienen estructuras de datos distintas, con diferente nivel de detalle y semántica.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Algunos campos significan cosas distintas según el esquema</w:t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1418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Hay información que solo existe en uno de los dos.</w:t>
      </w:r>
    </w:p>
    <w:p>
      <w:pPr>
        <w:pStyle w:val="Normal"/>
        <w:numPr>
          <w:ilvl w:val="0"/>
          <w:numId w:val="0"/>
        </w:numPr>
        <w:ind w:hanging="0" w:start="0" w:end="0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Style w:val="Strong"/>
          <w:b w:val="false"/>
          <w:bCs w:val="false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Hallazgos Relevantes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El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Request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principal que se envía actualmente para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, no es por completo funcional, ya que falta información relevante para poder para poder cumplir con la información requerida para el consumo de </w:t>
      </w:r>
      <w:r>
        <w:rPr>
          <w:rStyle w:val="Strong"/>
          <w:rFonts w:ascii="Calibri" w:hAnsi="Calibri"/>
          <w:b/>
          <w:bCs/>
          <w:color w:val="0066CC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.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Es imperioso validar con el proveedor si todos los campos dentro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encryptData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son requeridos, ya que no se menciona en la documentación.</w:t>
      </w:r>
    </w:p>
    <w:p>
      <w:pPr>
        <w:pStyle w:val="Normal"/>
        <w:ind w:hanging="0" w:start="709" w:end="0"/>
        <w:jc w:val="both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shd w:fill="FFFFFE" w:val="clear"/>
          <w:lang w:val="es-MX" w:eastAsia="zh-CN" w:bidi="hi-IN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Información faltante del campo encryptData: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addressType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addressLine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postCode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townName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countrySubDivision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>Información faltante del request: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accountId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activeTokenCount</w:t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tabs>
          <w:tab w:val="clear" w:pos="709"/>
          <w:tab w:val="left" w:pos="0" w:leader="none"/>
        </w:tabs>
        <w:ind w:hanging="283" w:start="1418"/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</w:pPr>
      <w:r>
        <w:rPr>
          <w:rFonts w:ascii="Calibri" w:hAnsi="Calibri"/>
          <w:b/>
          <w:bCs/>
          <w:color w:val="0066CC"/>
          <w:sz w:val="22"/>
          <w:szCs w:val="22"/>
          <w:shd w:fill="FFFFFE" w:val="clear"/>
        </w:rPr>
        <w:t xml:space="preserve">Para el </w:t>
      </w:r>
      <w:r>
        <w:rPr>
          <w:rFonts w:ascii="Calibri" w:hAnsi="Calibri"/>
          <w:b/>
          <w:bCs/>
          <w:i/>
          <w:iCs/>
          <w:color w:val="0066CC"/>
          <w:sz w:val="22"/>
          <w:szCs w:val="22"/>
          <w:u w:val="single"/>
          <w:shd w:fill="FFFFFE" w:val="clear"/>
        </w:rPr>
        <w:t>RESPONSE:</w:t>
      </w:r>
    </w:p>
    <w:p>
      <w:pPr>
        <w:pStyle w:val="Normal"/>
        <w:numPr>
          <w:ilvl w:val="6"/>
          <w:numId w:val="1"/>
        </w:numPr>
        <w:tabs>
          <w:tab w:val="clear" w:pos="709"/>
          <w:tab w:val="left" w:pos="0" w:leader="none"/>
        </w:tabs>
        <w:ind w:hanging="283" w:start="1418"/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Para que el proceso posterior al consumo de fiserv tanto de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VISA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y </w:t>
      </w:r>
      <w:r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  <w:t>MASTERCARD</w:t>
      </w: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 xml:space="preserve"> no se vea afectado deberá cumplirse lo siguiente: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Sin importar lo que contenga la respuesta de fiserv esta no deberá retornar ningún código ya que por default será 00.</w:t>
      </w:r>
    </w:p>
    <w:p>
      <w:pPr>
        <w:pStyle w:val="Normal"/>
        <w:numPr>
          <w:ilvl w:val="2"/>
          <w:numId w:val="1"/>
        </w:numPr>
        <w:tabs>
          <w:tab w:val="clear" w:pos="709"/>
          <w:tab w:val="left" w:pos="0" w:leader="none"/>
        </w:tabs>
        <w:jc w:val="both"/>
        <w:rPr/>
      </w:pPr>
      <w:r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  <w:t>Si durante el consumo fiserv el servicio del proveedor detecta alguna anomalía con la data enviada, este deberá retornar un código solo dentro de las etiquetas errorCode() o erros().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/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/>
      </w:r>
    </w:p>
    <w:p>
      <w:pPr>
        <w:pStyle w:val="Normal"/>
        <w:ind w:hanging="0" w:start="0" w:end="0"/>
        <w:jc w:val="center"/>
        <w:rPr/>
      </w:pPr>
      <w:r>
        <w:rPr>
          <w:rStyle w:val="Strong"/>
          <w:rFonts w:ascii="Calibri" w:hAnsi="Calibri"/>
          <w:b/>
          <w:bCs/>
          <w:color w:val="0066CC"/>
          <w:sz w:val="26"/>
          <w:szCs w:val="26"/>
        </w:rPr>
        <w:t xml:space="preserve">EN </w:t>
      </w:r>
      <w:r>
        <w:rPr>
          <w:rStyle w:val="Strong"/>
          <w:rFonts w:ascii="Calibri" w:hAnsi="Calibri"/>
          <w:b/>
          <w:bCs/>
          <w:color w:val="0066CC"/>
          <w:sz w:val="26"/>
          <w:szCs w:val="26"/>
        </w:rPr>
        <w:t>RESUMEN</w:t>
      </w:r>
      <w:r>
        <w:rPr>
          <w:rStyle w:val="Strong"/>
          <w:rFonts w:ascii="Calibri" w:hAnsi="Calibri"/>
          <w:b/>
          <w:bCs/>
          <w:color w:val="3465A4"/>
          <w:sz w:val="26"/>
          <w:szCs w:val="26"/>
        </w:rPr>
        <w:t>:</w:t>
      </w:r>
    </w:p>
    <w:p>
      <w:pPr>
        <w:pStyle w:val="Normal"/>
        <w:tabs>
          <w:tab w:val="clear" w:pos="709"/>
          <w:tab w:val="left" w:pos="0" w:leader="none"/>
        </w:tabs>
        <w:jc w:val="both"/>
        <w:rPr>
          <w:rStyle w:val="Strong"/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 xml:space="preserve">Para el proceso de peticiones para </w:t>
      </w: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 xml:space="preserve">VISA </w:t>
      </w: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hacia fiserv se seguirá usando tanto el request proveniente de HST como la url actual</w:t>
      </w:r>
      <w:r>
        <w:rPr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:</w:t>
      </w:r>
    </w:p>
    <w:p>
      <w:pPr>
        <w:pStyle w:val="Normal"/>
        <w:bidi w:val="0"/>
        <w:ind w:hanging="0" w:start="709" w:end="0"/>
        <w:jc w:val="start"/>
        <w:rPr/>
      </w:pPr>
      <w:r>
        <w:rPr>
          <w:rStyle w:val="Hyperlink"/>
          <w:rFonts w:ascii="Calibri" w:hAnsi="Calibri"/>
          <w:b/>
          <w:bCs/>
          <w:color w:val="000000"/>
          <w:sz w:val="20"/>
          <w:szCs w:val="20"/>
          <w:shd w:fill="FFFFFE" w:val="clear"/>
        </w:rPr>
        <w:t>https://cert.latam.api.fiservapps.com/firstvision/vts/vtis/v1/checkEligibility</w:t>
      </w:r>
    </w:p>
    <w:p>
      <w:pPr>
        <w:pStyle w:val="Normal"/>
        <w:bidi w:val="0"/>
        <w:ind w:hanging="0" w:start="709" w:end="0"/>
        <w:jc w:val="start"/>
        <w:rPr>
          <w:rStyle w:val="Strong"/>
          <w:rFonts w:ascii="Calibri" w:hAnsi="Calibri"/>
          <w:b/>
          <w:bCs/>
          <w:color w:val="000000"/>
          <w:sz w:val="20"/>
          <w:szCs w:val="20"/>
          <w:shd w:fill="FFFFFE" w:val="clear"/>
        </w:rPr>
      </w:pPr>
      <w:r>
        <w:rPr>
          <w:rFonts w:ascii="Calibri" w:hAnsi="Calibri"/>
          <w:b/>
          <w:bCs/>
          <w:color w:val="000000"/>
          <w:sz w:val="20"/>
          <w:szCs w:val="20"/>
          <w:shd w:fill="FFFFFE" w:val="clear"/>
        </w:rPr>
      </w:r>
    </w:p>
    <w:p>
      <w:pPr>
        <w:pStyle w:val="Normal"/>
        <w:numPr>
          <w:ilvl w:val="0"/>
          <w:numId w:val="1"/>
        </w:numPr>
        <w:tabs>
          <w:tab w:val="clear" w:pos="709"/>
          <w:tab w:val="left" w:pos="0" w:leader="none"/>
        </w:tabs>
        <w:ind w:hanging="283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 xml:space="preserve">En cuanto a las peticiones que se manden a </w:t>
      </w: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 xml:space="preserve">MASTERCARD, </w:t>
      </w: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 xml:space="preserve">el resquet que manda actualmente HST no será funcional en su totalidad, ya que el request requerido para el consumo de la nueva url de fiserv:  </w:t>
      </w:r>
    </w:p>
    <w:p>
      <w:pPr>
        <w:pStyle w:val="Normal"/>
        <w:ind w:hanging="0" w:start="709" w:end="0"/>
        <w:rPr/>
      </w:pPr>
      <w:hyperlink r:id="rId3">
        <w:r>
          <w:rPr>
            <w:rStyle w:val="Hyperlink"/>
            <w:rFonts w:ascii="Calibri" w:hAnsi="Calibri"/>
            <w:b/>
            <w:bCs/>
            <w:color w:val="000000"/>
            <w:sz w:val="20"/>
            <w:szCs w:val="20"/>
            <w:shd w:fill="FFFFFE" w:val="clear"/>
          </w:rPr>
          <w:t>https://connect-cert.fiservapps.com/fv-gfs-apis-tsp-mc-ca/v1/card-tokenization/eligibility/evaluate</w:t>
        </w:r>
      </w:hyperlink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requiere mayor información y conocer como se realizará el mapeo de los siguientes campos</w:t>
      </w:r>
      <w:r>
        <w:rPr>
          <w:rStyle w:val="Strong"/>
          <w:rFonts w:ascii="Calibri" w:hAnsi="Calibri"/>
          <w:b/>
          <w:bCs/>
          <w:i w:val="false"/>
          <w:iCs w:val="false"/>
          <w:color w:val="0066CC"/>
          <w:sz w:val="22"/>
          <w:szCs w:val="22"/>
          <w:u w:val="none"/>
          <w:shd w:fill="FFFFFE" w:val="clear"/>
        </w:rPr>
        <w:t>:</w:t>
      </w:r>
    </w:p>
    <w:p>
      <w:pPr>
        <w:pStyle w:val="Normal"/>
        <w:tabs>
          <w:tab w:val="clear" w:pos="709"/>
          <w:tab w:val="left" w:pos="0" w:leader="none"/>
        </w:tabs>
        <w:ind w:hanging="0" w:start="709" w:end="0"/>
        <w:jc w:val="both"/>
        <w:rPr>
          <w:i w:val="false"/>
          <w:i w:val="false"/>
          <w:iCs w:val="false"/>
          <w:u w:val="none"/>
        </w:rPr>
      </w:pPr>
      <w:r>
        <w:rPr/>
      </w:r>
    </w:p>
    <w:p>
      <w:pPr>
        <w:pStyle w:val="BodyText"/>
        <w:widowControl/>
        <w:suppressAutoHyphens w:val="true"/>
        <w:bidi w:val="0"/>
        <w:spacing w:lineRule="exact" w:line="170" w:before="0" w:after="0"/>
        <w:ind w:hanging="0" w:start="709" w:end="0"/>
        <w:jc w:val="start"/>
        <w:rPr>
          <w:rFonts w:ascii="Courier New" w:hAnsi="Courier New" w:eastAsia="NSimSun" w:cs="Arial"/>
          <w:b/>
          <w:bCs/>
          <w:color w:val="000000"/>
          <w:kern w:val="2"/>
          <w:sz w:val="16"/>
          <w:szCs w:val="16"/>
          <w:lang w:val="es-MX" w:eastAsia="zh-CN" w:bidi="hi-IN"/>
        </w:rPr>
      </w:pPr>
      <w:r>
        <w:rPr>
          <w:rFonts w:eastAsia="NSimSun" w:cs="Arial" w:ascii="Courier New" w:hAnsi="Courier New"/>
          <w:b/>
          <w:bCs/>
          <w:color w:val="000000"/>
          <w:kern w:val="2"/>
          <w:sz w:val="16"/>
          <w:szCs w:val="16"/>
          <w:lang w:val="es-MX" w:eastAsia="zh-CN" w:bidi="hi-IN"/>
        </w:rPr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 “Headers”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Authorization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Bearer &lt;token&gt;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Content-Type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"application/json"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X-ClientID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"540"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3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X-Correlation-Id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14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X-Request-Id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requestID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64</w:t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color w:val="0066CC"/>
        </w:rPr>
      </w:pPr>
      <w:r>
        <w:rPr>
          <w:rFonts w:ascii="Calibri" w:hAnsi="Calibri"/>
          <w:b/>
          <w:bCs/>
          <w:color w:val="0066CC"/>
          <w:sz w:val="26"/>
          <w:szCs w:val="26"/>
        </w:rPr>
        <w:t>Mapeo de campos dentro de “encryptData” -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4"/>
        <w:gridCol w:w="3063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partyType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"Person"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fullName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name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addressLine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postCode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townName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countrySubDivision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  <w:t>De donde se obtiene este valor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cardType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"CreditCard" or "DebitCard"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exact" w:line="170" w:before="0" w:after="0"/>
              <w:ind w:hanging="0" w:start="0" w:end="0"/>
              <w:jc w:val="start"/>
              <w:rPr>
                <w:rFonts w:ascii="Courier New" w:hAnsi="Courier New"/>
                <w:b/>
                <w:bCs/>
                <w:color w:val="000000"/>
                <w:sz w:val="16"/>
                <w:szCs w:val="16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primaryAccountNumber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cardNumberReference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PANRefID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cardExpiryDate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month - year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cardSecurityCode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cvv2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  <w:t>Mapeo de campos del resto del (Request)</w:t>
      </w:r>
    </w:p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55"/>
        <w:gridCol w:w="3854"/>
        <w:gridCol w:w="3063"/>
      </w:tblGrid>
      <w:tr>
        <w:trPr/>
        <w:tc>
          <w:tcPr>
            <w:tcW w:w="30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CAMPO</w:t>
            </w:r>
          </w:p>
        </w:tc>
        <w:tc>
          <w:tcPr>
            <w:tcW w:w="3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POSIBLE VALOR</w:t>
            </w:r>
          </w:p>
        </w:tc>
        <w:tc>
          <w:tcPr>
            <w:tcW w:w="30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Contenidodelatabla"/>
              <w:spacing w:lineRule="exact" w:line="198"/>
              <w:jc w:val="center"/>
              <w:rPr>
                <w:b/>
                <w:bCs/>
                <w:color w:val="000000"/>
                <w:sz w:val="20"/>
                <w:szCs w:val="20"/>
                <w:shd w:fill="FFFFFF" w:val="clear"/>
              </w:rPr>
            </w:pPr>
            <w:r>
              <w:rPr>
                <w:b/>
                <w:bCs/>
                <w:color w:val="000000"/>
                <w:sz w:val="20"/>
                <w:szCs w:val="20"/>
                <w:shd w:fill="FFFFFF" w:val="clear"/>
              </w:rPr>
              <w:t>LONGITUD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configurationId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Tipo de Producto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FF00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assetId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Identificador Único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acceptedDateTime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activeTokenCount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"0" - "99"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dataValidDateTime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DateTime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activationAttempts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Cantidad de activaciones de token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"APPROVED"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"REQUIRE_ADDITIONAL_AUTHENTICATION"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decisionMadeBy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"ELEGIBILITY_REQUEST"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"AUTHORIZATION_REQUEST"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"RULES"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tokenAssuranceLevel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^[0-9]{2}$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2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tokenReferenceId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tokenRefID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48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tokenRequestorId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^[A-Za-z0-9._-]{11}$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  <w:t>maxLength: 11</w:t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tokenStorageLocation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"DEVICE_MEMORY_PROTECTED_TPM"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"TEE"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"SERVER"</w:t>
            </w:r>
          </w:p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"VEE"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  <w:tr>
        <w:trPr/>
        <w:tc>
          <w:tcPr>
            <w:tcW w:w="30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tokenServicesRequested</w:t>
            </w:r>
          </w:p>
        </w:tc>
        <w:tc>
          <w:tcPr>
            <w:tcW w:w="385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0" w:end="0"/>
              <w:jc w:val="start"/>
              <w:rPr>
                <w:rFonts w:ascii="Courier New" w:hAnsi="Courier New" w:eastAsia="NSimSun" w:cs="Arial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0000"/>
                <w:kern w:val="2"/>
                <w:sz w:val="16"/>
                <w:szCs w:val="16"/>
                <w:lang w:val="es-MX" w:eastAsia="zh-CN" w:bidi="hi-IN"/>
              </w:rPr>
              <w:t>"CARD_DIGITIZATION"</w:t>
            </w:r>
          </w:p>
        </w:tc>
        <w:tc>
          <w:tcPr>
            <w:tcW w:w="30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widowControl/>
              <w:suppressAutoHyphens w:val="true"/>
              <w:bidi w:val="0"/>
              <w:spacing w:lineRule="exact" w:line="198" w:before="0" w:after="0"/>
              <w:ind w:hanging="0" w:start="709" w:end="0"/>
              <w:jc w:val="start"/>
              <w:rPr>
                <w:rFonts w:ascii="Courier New" w:hAnsi="Courier New" w:eastAsia="NSimSun" w:cs="Arial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pPr>
            <w:r>
              <w:rPr>
                <w:rFonts w:eastAsia="NSimSun" w:cs="Arial" w:ascii="Courier New" w:hAnsi="Courier New"/>
                <w:b/>
                <w:bCs/>
                <w:color w:val="00AE00"/>
                <w:kern w:val="2"/>
                <w:sz w:val="16"/>
                <w:szCs w:val="16"/>
                <w:lang w:val="es-MX" w:eastAsia="zh-CN" w:bidi="hi-IN"/>
              </w:rPr>
            </w:r>
          </w:p>
        </w:tc>
      </w:tr>
    </w:tbl>
    <w:p>
      <w:pPr>
        <w:pStyle w:val="Normal"/>
        <w:bidi w:val="0"/>
        <w:ind w:hanging="0" w:start="0" w:end="0"/>
        <w:jc w:val="center"/>
        <w:rPr>
          <w:rFonts w:ascii="Calibri" w:hAnsi="Calibri"/>
          <w:b/>
          <w:bCs/>
          <w:color w:val="3465A4"/>
          <w:sz w:val="26"/>
          <w:szCs w:val="26"/>
        </w:rPr>
      </w:pPr>
      <w:r>
        <w:rPr>
          <w:rFonts w:ascii="Calibri" w:hAnsi="Calibri"/>
          <w:b/>
          <w:bCs/>
          <w:color w:val="3465A4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MX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MX" w:eastAsia="zh-CN" w:bidi="hi-IN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Times New Roman" w:hAnsi="Times New Roman" w:eastAsia="NSimSun" w:cs="Arial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Times New Roman" w:hAnsi="Times New Roman" w:eastAsia="NSimSun" w:cs="Arial"/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SimSun" w:cs="Arial"/>
      <w:b/>
      <w:bCs/>
      <w:sz w:val="24"/>
      <w:szCs w:val="24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onnect-cert.fiservapps.com/fv-gfs-apis-tsp-mc-ca/v1/card-tokenization/eligibility/evaluate" TargetMode="External"/><Relationship Id="rId3" Type="http://schemas.openxmlformats.org/officeDocument/2006/relationships/hyperlink" Target="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656</TotalTime>
  <Application>LibreOffice/24.2.2.2$Windows_X86_64 LibreOffice_project/d56cc158d8a96260b836f100ef4b4ef25d6f1a01</Application>
  <AppVersion>15.0000</AppVersion>
  <Pages>3</Pages>
  <Words>535</Words>
  <Characters>3371</Characters>
  <CharactersWithSpaces>3765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2026-02-05T10:35:35Z</dcterms:created>
  <dc:creator/>
  <dc:description/>
  <dc:language>es-MX</dc:language>
  <cp:lastModifiedBy/>
  <dcterms:modified xsi:type="dcterms:W3CDTF">2026-02-18T12:04:17Z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