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Análisis de Bajo Nivel - CheckElegibility (FLUJO VERDE)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709" w:end="0"/>
        <w:jc w:val="both"/>
        <w:rPr/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Bajo la intención de realizar las respectivas validaciones para ver si la tarjeta que el cliente esta intentando dar de alta es o no es elegible para aprovisionar, esto para el uso de billeteras como (Apple Pay, Google Wallet etc), con esquemas internacionales como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VISA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y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Mastercard.</w:t>
      </w:r>
    </w:p>
    <w:p>
      <w:pPr>
        <w:pStyle w:val="Normal"/>
        <w:bidi w:val="0"/>
        <w:ind w:hanging="0" w:start="709" w:end="0"/>
        <w:jc w:val="both"/>
        <w:rPr>
          <w:rFonts w:ascii="Calibri" w:hAnsi="Calibri"/>
          <w:b w:val="false"/>
          <w:bCs w:val="false"/>
          <w:color w:val="00000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hd w:fill="FFFFFE" w:val="clear"/>
        </w:rPr>
      </w:r>
    </w:p>
    <w:p>
      <w:pPr>
        <w:pStyle w:val="Normal"/>
        <w:bidi w:val="0"/>
        <w:ind w:hanging="0" w:start="709" w:end="0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Para este caso el API principal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CheckElegibility</w:t>
      </w:r>
      <w:r>
        <w:rPr>
          <w:rFonts w:ascii="Calibri" w:hAnsi="Calibri"/>
          <w:b/>
          <w:bCs/>
          <w:color w:val="3465A4"/>
          <w:sz w:val="20"/>
          <w:szCs w:val="20"/>
          <w:shd w:fill="FFFFFE" w:val="clear"/>
        </w:rPr>
        <w:t xml:space="preserve"> 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recibe estas notificaciones y las convierte en un formato unificado para que los sistemas internos puedan procesarlas de manera consistente.</w:t>
      </w:r>
    </w:p>
    <w:p>
      <w:pPr>
        <w:pStyle w:val="Normal"/>
        <w:bidi w:val="0"/>
        <w:ind w:hanging="0" w:start="709" w:end="0"/>
        <w:jc w:val="both"/>
        <w:rPr>
          <w:color w:val="000000"/>
          <w:shd w:fill="FFFFFE" w:val="clear"/>
        </w:rPr>
      </w:pPr>
      <w:r>
        <w:rPr>
          <w:color w:val="000000"/>
          <w:shd w:fill="FFFFFE" w:val="clear"/>
        </w:rPr>
      </w:r>
    </w:p>
    <w:p>
      <w:pPr>
        <w:pStyle w:val="BodyText"/>
        <w:bidi w:val="0"/>
        <w:ind w:hanging="0" w:start="709" w:end="0"/>
        <w:jc w:val="both"/>
        <w:rPr/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Sin embargo,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no toda la información puede unificarse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, porque: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/>
      </w:pPr>
      <w:r>
        <w:rPr>
          <w:rFonts w:ascii="Calibri" w:hAnsi="Calibri"/>
          <w:b/>
          <w:bCs/>
          <w:sz w:val="20"/>
          <w:szCs w:val="20"/>
        </w:rPr>
        <w:t>VIS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A y Mastercard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contienen estructuras de datos distintas, con diferente nivel de detalle y semántica.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Algunos campos significan cosas distintas según el esquema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Hay información que solo existe en uno de los dos.</w:t>
      </w:r>
    </w:p>
    <w:p>
      <w:pPr>
        <w:pStyle w:val="Normal"/>
        <w:numPr>
          <w:ilvl w:val="0"/>
          <w:numId w:val="0"/>
        </w:numPr>
        <w:ind w:hanging="0" w:start="0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Style w:val="Strong"/>
          <w:b w:val="false"/>
          <w:bCs w:val="false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Hallazgos Relevantes </w:t>
      </w:r>
      <w:r>
        <w:rPr>
          <w:rFonts w:ascii="Calibri" w:hAnsi="Calibri"/>
          <w:b/>
          <w:bCs/>
          <w:i/>
          <w:iCs/>
          <w:color w:val="0066CC"/>
          <w:sz w:val="22"/>
          <w:szCs w:val="22"/>
          <w:u w:val="single"/>
          <w:shd w:fill="FFFFFE" w:val="clear"/>
        </w:rPr>
        <w:t>REQUEST: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El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Request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principal que se envía actualmente para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VISA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, no es por completo funcional, ya que falta información relevante para poder para poder cumplir con la información requerida para el consumo de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.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Es imperioso validar con el proveedor si todos los campos dentro de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encryptData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son requeridos, ya que no se menciona en la documentación.</w:t>
      </w:r>
    </w:p>
    <w:p>
      <w:pPr>
        <w:pStyle w:val="Normal"/>
        <w:ind w:hanging="0" w:start="709" w:end="0"/>
        <w:jc w:val="both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shd w:fill="FFFFFE" w:val="clear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shd w:fill="FFFFFE" w:val="clear"/>
          <w:lang w:val="es-MX" w:eastAsia="zh-CN" w:bidi="hi-IN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Información faltante del campo encryptData: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addressType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addressLine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postCode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townName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country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countrySubDivision</w:t>
      </w:r>
    </w:p>
    <w:p>
      <w:pPr>
        <w:pStyle w:val="Normal"/>
        <w:tabs>
          <w:tab w:val="clear" w:pos="709"/>
          <w:tab w:val="left" w:pos="0" w:leader="none"/>
        </w:tabs>
        <w:ind w:hanging="283" w:start="1418"/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Información faltante del </w:t>
      </w: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resto del</w:t>
      </w: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 request: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accountId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activeTokenCount</w:t>
      </w:r>
    </w:p>
    <w:p>
      <w:pPr>
        <w:pStyle w:val="Normal"/>
        <w:tabs>
          <w:tab w:val="clear" w:pos="709"/>
          <w:tab w:val="left" w:pos="0" w:leader="none"/>
        </w:tabs>
        <w:ind w:hanging="283" w:start="1418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ind w:hanging="283" w:start="1418"/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Para el </w:t>
      </w:r>
      <w:r>
        <w:rPr>
          <w:rFonts w:ascii="Calibri" w:hAnsi="Calibri"/>
          <w:b/>
          <w:bCs/>
          <w:i/>
          <w:iCs/>
          <w:color w:val="0066CC"/>
          <w:sz w:val="22"/>
          <w:szCs w:val="22"/>
          <w:u w:val="single"/>
          <w:shd w:fill="FFFFFE" w:val="clear"/>
        </w:rPr>
        <w:t>RESPONSE: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Para que el proceso posterior al consumo de fiserv tanto de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VISA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y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no se vea afectado deberá cumplirse lo siguiente:</w:t>
      </w:r>
    </w:p>
    <w:p>
      <w:pPr>
        <w:pStyle w:val="Normal"/>
        <w:numPr>
          <w:ilvl w:val="2"/>
          <w:numId w:val="1"/>
        </w:numPr>
        <w:tabs>
          <w:tab w:val="clear" w:pos="709"/>
          <w:tab w:val="left" w:pos="0" w:leader="none"/>
        </w:tabs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Siempre que la información data de la tarjeta enviada a fiserv sea consistente y el flujo sea </w:t>
      </w:r>
      <w:r>
        <w:rPr>
          <w:rStyle w:val="Strong"/>
          <w:rFonts w:ascii="Calibri" w:hAnsi="Calibri"/>
          <w:b w:val="false"/>
          <w:bCs w:val="false"/>
          <w:color w:val="468A1A"/>
          <w:sz w:val="20"/>
          <w:szCs w:val="20"/>
          <w:shd w:fill="FFFFFE" w:val="clear"/>
        </w:rPr>
        <w:t>VERDE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, es decir </w:t>
      </w:r>
      <w:r>
        <w:rPr>
          <w:rStyle w:val="Strong"/>
          <w:rFonts w:ascii="Calibri" w:hAnsi="Calibri"/>
          <w:b w:val="false"/>
          <w:bCs w:val="false"/>
          <w:color w:val="468A1A"/>
          <w:sz w:val="20"/>
          <w:szCs w:val="20"/>
          <w:shd w:fill="FFFFFF" w:val="clear"/>
        </w:rPr>
        <w:t>recommendedDecision = GREEN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, fiserv retornará un 00.</w:t>
      </w:r>
    </w:p>
    <w:p>
      <w:pPr>
        <w:pStyle w:val="Normal"/>
        <w:numPr>
          <w:ilvl w:val="2"/>
          <w:numId w:val="1"/>
        </w:numPr>
        <w:tabs>
          <w:tab w:val="clear" w:pos="709"/>
          <w:tab w:val="left" w:pos="0" w:leader="none"/>
        </w:tabs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Solo cuando el flujo sea </w:t>
      </w:r>
      <w:r>
        <w:rPr>
          <w:rStyle w:val="Strong"/>
          <w:rFonts w:ascii="Calibri" w:hAnsi="Calibri"/>
          <w:b w:val="false"/>
          <w:bCs w:val="false"/>
          <w:color w:val="FFD428"/>
          <w:sz w:val="20"/>
          <w:szCs w:val="20"/>
          <w:shd w:fill="FFFFFE" w:val="clear"/>
        </w:rPr>
        <w:t>AMARILLO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, es decir  </w:t>
      </w:r>
      <w:r>
        <w:rPr>
          <w:rStyle w:val="Strong"/>
          <w:rFonts w:ascii="Calibri" w:hAnsi="Calibri"/>
          <w:b w:val="false"/>
          <w:bCs w:val="false"/>
          <w:color w:val="FFD428"/>
          <w:sz w:val="20"/>
          <w:szCs w:val="20"/>
          <w:shd w:fill="FFFFFF" w:val="clear"/>
        </w:rPr>
        <w:t>recommendedDecision = YELLOW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F" w:val="clear"/>
        </w:rPr>
        <w:t>, fiserv retornará un 85 acompañado de los métodos de contacto dsdos de alta por el cliente: email y teléfono.</w:t>
      </w:r>
    </w:p>
    <w:p>
      <w:pPr>
        <w:pStyle w:val="Normal"/>
        <w:numPr>
          <w:ilvl w:val="2"/>
          <w:numId w:val="1"/>
        </w:numPr>
        <w:tabs>
          <w:tab w:val="clear" w:pos="709"/>
          <w:tab w:val="left" w:pos="0" w:leader="none"/>
        </w:tabs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Si durante el consumo fiserv el servicio del proveedor detecta alguna inconsistencia con la data enviada, este deberá retornar un código solo dentro de las etiquetas errorCode() o erros().</w:t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ind w:hanging="0" w:start="0" w:end="0"/>
        <w:jc w:val="center"/>
        <w:rPr/>
      </w:pPr>
      <w:r>
        <w:rPr>
          <w:rStyle w:val="Strong"/>
          <w:rFonts w:ascii="Calibri" w:hAnsi="Calibri"/>
          <w:b/>
          <w:bCs/>
          <w:color w:val="0066CC"/>
          <w:sz w:val="26"/>
          <w:szCs w:val="26"/>
        </w:rPr>
        <w:t>EN RESUMEN</w:t>
      </w:r>
      <w:r>
        <w:rPr>
          <w:rStyle w:val="Strong"/>
          <w:rFonts w:ascii="Calibri" w:hAnsi="Calibri"/>
          <w:b/>
          <w:bCs/>
          <w:color w:val="3465A4"/>
          <w:sz w:val="26"/>
          <w:szCs w:val="26"/>
        </w:rPr>
        <w:t>:</w:t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i w:val="false"/>
          <w:i w:val="false"/>
          <w:iCs w:val="false"/>
          <w:u w:val="none"/>
        </w:rPr>
      </w:pPr>
      <w:r>
        <w:rPr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>Para el proceso de peticiones para VISA hacia fiserv se seguirá usando tanto el request proveniente de HST como la url actual:</w:t>
      </w:r>
    </w:p>
    <w:p>
      <w:pPr>
        <w:pStyle w:val="Normal"/>
        <w:bidi w:val="0"/>
        <w:ind w:hanging="0" w:start="709" w:end="0"/>
        <w:jc w:val="start"/>
        <w:rPr/>
      </w:pPr>
      <w:r>
        <w:rPr>
          <w:rStyle w:val="Hyperlink"/>
          <w:rFonts w:ascii="Calibri" w:hAnsi="Calibri"/>
          <w:b/>
          <w:bCs/>
          <w:color w:val="000000"/>
          <w:sz w:val="20"/>
          <w:szCs w:val="20"/>
          <w:shd w:fill="FFFFFE" w:val="clear"/>
        </w:rPr>
        <w:t>https://cert.latam.api.fiservapps.com/firstvision/vts/vtis/v1/checkEligibility</w:t>
      </w:r>
    </w:p>
    <w:p>
      <w:pPr>
        <w:pStyle w:val="Normal"/>
        <w:bidi w:val="0"/>
        <w:ind w:hanging="0" w:start="709" w:end="0"/>
        <w:jc w:val="start"/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i w:val="false"/>
          <w:i w:val="false"/>
          <w:iCs w:val="false"/>
          <w:u w:val="none"/>
        </w:rPr>
      </w:pPr>
      <w:r>
        <w:rPr>
          <w:rStyle w:val="Strong"/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 xml:space="preserve">En cuanto a las peticiones que se manden a MASTERCARD, el resquet que manda actualmente HST no será funcional en su totalidad, ya que el request requerido para el consumo de la nueva url de fiserv:  </w:t>
      </w:r>
    </w:p>
    <w:p>
      <w:pPr>
        <w:pStyle w:val="Normal"/>
        <w:ind w:hanging="0" w:start="709" w:end="0"/>
        <w:rPr/>
      </w:pPr>
      <w:r>
        <w:rPr>
          <w:rStyle w:val="Hyperlink"/>
          <w:rFonts w:ascii="Calibri" w:hAnsi="Calibri"/>
          <w:b/>
          <w:bCs/>
          <w:color w:val="000000"/>
          <w:sz w:val="20"/>
          <w:szCs w:val="20"/>
          <w:shd w:fill="FFFFFE" w:val="clear"/>
        </w:rPr>
        <w:t>https://connect-cert.fiservapps.com/fv-gfs-apis-tsp-mc-ca/v1/card-tokenization/eligibility/evaluate</w:t>
      </w:r>
    </w:p>
    <w:p>
      <w:pPr>
        <w:pStyle w:val="Normal"/>
        <w:tabs>
          <w:tab w:val="clear" w:pos="709"/>
          <w:tab w:val="left" w:pos="0" w:leader="none"/>
        </w:tabs>
        <w:ind w:hanging="0" w:start="709" w:end="0"/>
        <w:jc w:val="both"/>
        <w:rPr>
          <w:i w:val="false"/>
          <w:i w:val="false"/>
          <w:iCs w:val="false"/>
          <w:u w:val="none"/>
        </w:rPr>
      </w:pPr>
      <w:r>
        <w:rPr>
          <w:rStyle w:val="Strong"/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>requiere mayor información y conocer como se realizará el mapeo de los siguientes campos:</w:t>
      </w:r>
    </w:p>
    <w:p>
      <w:pPr>
        <w:pStyle w:val="Normal"/>
        <w:tabs>
          <w:tab w:val="clear" w:pos="709"/>
          <w:tab w:val="left" w:pos="0" w:leader="none"/>
        </w:tabs>
        <w:ind w:hanging="0" w:start="709" w:end="0"/>
        <w:jc w:val="both"/>
        <w:rPr>
          <w:i w:val="false"/>
          <w:i w:val="false"/>
          <w:iCs w:val="false"/>
          <w:u w:val="none"/>
        </w:rPr>
      </w:pPr>
      <w:r>
        <w:rPr>
          <w:i w:val="false"/>
          <w:iCs w:val="false"/>
          <w:u w:val="none"/>
        </w:rPr>
      </w:r>
    </w:p>
    <w:p>
      <w:pPr>
        <w:pStyle w:val="Normal"/>
        <w:tabs>
          <w:tab w:val="clear" w:pos="709"/>
          <w:tab w:val="left" w:pos="0" w:leader="none"/>
        </w:tabs>
        <w:ind w:hanging="0" w:start="709" w:end="0"/>
        <w:jc w:val="both"/>
        <w:rPr>
          <w:i w:val="false"/>
          <w:i w:val="false"/>
          <w:iCs w:val="false"/>
          <w:u w:val="none"/>
        </w:rPr>
      </w:pPr>
      <w:r>
        <w:rPr>
          <w:i w:val="false"/>
          <w:iCs w:val="false"/>
          <w:u w:val="none"/>
        </w:rPr>
      </w:r>
    </w:p>
    <w:p>
      <w:pPr>
        <w:pStyle w:val="Normal"/>
        <w:tabs>
          <w:tab w:val="clear" w:pos="709"/>
          <w:tab w:val="left" w:pos="0" w:leader="none"/>
        </w:tabs>
        <w:ind w:hanging="0" w:start="709" w:end="0"/>
        <w:jc w:val="both"/>
        <w:rPr>
          <w:i w:val="false"/>
          <w:i w:val="false"/>
          <w:iCs w:val="false"/>
          <w:u w:val="none"/>
        </w:rPr>
      </w:pPr>
      <w:r>
        <w:rPr>
          <w:i w:val="false"/>
          <w:iCs w:val="false"/>
          <w:u w:val="none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 “Headers”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3117"/>
        <w:gridCol w:w="2782"/>
        <w:gridCol w:w="1580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Authorization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Bearer &lt;token&gt;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Content-Type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X-ClientID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"540"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3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X-Correlation-Id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14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X-Request-Id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requestID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64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dentro de “encryptData” -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9"/>
        <w:gridCol w:w="3120"/>
        <w:gridCol w:w="2717"/>
        <w:gridCol w:w="1645"/>
      </w:tblGrid>
      <w:tr>
        <w:trPr/>
        <w:tc>
          <w:tcPr>
            <w:tcW w:w="24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partyType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"Person"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¿Este valor es por defaut?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fullName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name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addressType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addressLine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postCode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townName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countrySubDivision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cardType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"CreditCard"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>Valor por default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cardNumberReference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PANRefID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cardExpiryDate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month - year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cardSecurityCode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cvvDos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del resto del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3117"/>
        <w:gridCol w:w="2717"/>
        <w:gridCol w:w="1645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accountSource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"ACCOUNT_ON_FILE"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"ACCOUNT_ADDED_MANUALLY"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"ACCOUNT_ADDED_VIA_APPLICATION"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"EXISTING_TOKEN_CREDENTIAL"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"ACCOUNT_ADDED_VIA_BROWSER"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 xml:space="preserve">Se asignará el valor de acuerdo al campo 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source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tokenReferenceId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48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tokenType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"EMBEDDED_SE"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"CLOUD, STATIC"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 xml:space="preserve">Se asignará el valor de acuerdo al campo 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tokenType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tokenStorageLocation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"DEVICE_MEMORY_PROTECTED_TPM"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"TEE"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"SERVER"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"VEE"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¿Bajo que criterío se deberá asignar cada valor en el campo?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tokenServiceProviderName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"Mastercard"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fijo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tokenRequestorId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^[A-Za-z0-9]{11}$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Valor Mapeable</w:t>
            </w:r>
          </w:p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color w:val="0066CC"/>
                <w:shd w:fill="FFFFFF" w:val="clear"/>
              </w:rPr>
            </w:pPr>
            <w:r>
              <w:rPr>
                <w:color w:val="0066CC"/>
                <w:shd w:fill="FFFFFF" w:val="clear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tokenRequestorID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11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walletId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^[A-Za-z0-9._-]{1,12}$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Valor Mapeable</w:t>
            </w:r>
          </w:p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color w:val="0066CC"/>
                <w:shd w:fill="FFFFFF" w:val="clear"/>
              </w:rPr>
            </w:pPr>
            <w:r>
              <w:rPr>
                <w:color w:val="0066CC"/>
                <w:shd w:fill="FFFFFF" w:val="clear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walletID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12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accountId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Style w:val="Strong"/>
                <w:rFonts w:eastAsia="NSimSun" w:cs="Arial" w:ascii="Courier New" w:hAnsi="Courier New"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 xml:space="preserve"> asignado a cada usuario o cuenta.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activeTokenCount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Número de token vinculados a la cuenta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dataValidDateTime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YYYY-MM-DDThh:mm:ss[.sss]Z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or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YYYY-MMDDThh:mm:ss[.sss]±hh:mm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DateTime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Times New Roman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MX" w:eastAsia="zh-CN" w:bidi="hi-IN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Times New Roman" w:hAnsi="Times New Roman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Times New Roman" w:hAnsi="Times New Roman" w:eastAsia="NSimSun" w:cs="Arial"/>
      <w:b/>
      <w:bCs/>
      <w:sz w:val="28"/>
      <w:szCs w:val="28"/>
    </w:rPr>
  </w:style>
  <w:style w:type="paragraph" w:styleId="Heading4">
    <w:name w:val="Heading 4"/>
    <w:basedOn w:val="Ttulo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685</TotalTime>
  <Application>LibreOffice/24.2.2.2$Windows_X86_64 LibreOffice_project/d56cc158d8a96260b836f100ef4b4ef25d6f1a01</Application>
  <AppVersion>15.0000</AppVersion>
  <Pages>3</Pages>
  <Words>663</Words>
  <Characters>4104</Characters>
  <CharactersWithSpaces>4591</CharactersWithSpaces>
  <Paragraphs>156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2026-02-05T10:35:35Z</dcterms:created>
  <dc:creator/>
  <dc:description/>
  <dc:language>es-MX</dc:language>
  <cp:lastModifiedBy/>
  <dcterms:modified xsi:type="dcterms:W3CDTF">2026-02-18T17:16:48Z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