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3970"/>
        <w:gridCol w:w="1420"/>
        <w:gridCol w:w="2944"/>
        <w:gridCol w:w="1588"/>
      </w:tblGrid>
      <w:tr>
        <w:trPr/>
        <w:tc>
          <w:tcPr>
            <w:tcW w:w="124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970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420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944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633106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Flujo Verde Google Pay</w:t>
            </w:r>
          </w:p>
        </w:tc>
        <w:tc>
          <w:tcPr>
            <w:tcW w:w="1420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31/10/2024</w:t>
            </w:r>
          </w:p>
        </w:tc>
        <w:tc>
          <w:tcPr>
            <w:tcW w:w="2944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240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Api LifeCycleNotification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jc w:val="both"/>
              <w:rPr/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Esta api solicitara un token a través de AD de Microsoft así como la implementación de JWT como método de seguridad, esto con la finalidad de realizar envió de notificación de activación de la tarjeta aprovisionada.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Request: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"requestID": "TSP166386572341",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"processID": "383346699928845",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"institutionCode": "AGRIC-180",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"vaultIdentification": "VTS",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"walletID": "4BH1-BQVW-9U6L-IMDU",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"tokenRequestorID": "40010075001",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"tokenRefID": "DNITHE413226560923471800",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"PANRefID": "V-4623270735441413459781",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"tokenType": "COF",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"dateTime": "2023-06-13T22:43:15.000",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"event": "CREATED",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"deviceInfo":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"deviceID": "000000000000000004437188"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},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"encryptedCardInfo":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"algorithm": "aes-gcm128",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"iv": "7B78C79A48E74A6096775B23",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"encryptedData":"eGjLA3dgFgCXP2lTje/Dw2dmqaU7j0yMGiqSH3WIcqU979pyLHpMG+nwEYK11d/Xl1sAQEa661Gm73H9Aosd+uiLeG5KgmyeTLClXUtZrtz9z9UnlB9t5f6m7ANfWI2gbbPU+3HRv9sWLG0ZkZLZZeJHHIfhbXQ+Czc=",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"MACLength": 16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},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"encryptedTokenInfo":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"algorithm": "aes-gcm128",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"iv": "16930F70D98F657F74AC4BAA",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"encryptedData": "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"MACLength": 16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Paso 1: Petición con Body Request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5711825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571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Paso 2: El api realiza solicitud de token mediante el AD de Microsoft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para enviárselo al api de Bines, la cual cuenta con JWT cono método de seguridad utilizando el token antes obtenido: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635</wp:posOffset>
                  </wp:positionV>
                  <wp:extent cx="4108450" cy="509270"/>
                  <wp:effectExtent l="0" t="0" r="0" b="0"/>
                  <wp:wrapSquare wrapText="largest"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50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497205"/>
                  <wp:effectExtent l="0" t="0" r="0" b="0"/>
                  <wp:wrapSquare wrapText="largest"/>
                  <wp:docPr id="3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9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Paso 3: Respuesta de Api: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198880"/>
                  <wp:effectExtent l="0" t="0" r="0" b="0"/>
                  <wp:wrapSquare wrapText="largest"/>
                  <wp:docPr id="4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19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 xml:space="preserve">Paso </w:t>
            </w: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4</w:t>
            </w: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 xml:space="preserve">: </w:t>
            </w: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Se detona el envió de correos/mensajes a través del consumo de un servicio Asíncrono: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/>
                <w:i/>
                <w:iCs/>
                <w:sz w:val="20"/>
                <w:szCs w:val="20"/>
              </w:rPr>
            </w:pPr>
            <w:r>
              <w:rPr>
                <w:rFonts w:eastAsia="Calibri" w:cs="Times New Roman"/>
                <w:b w:val="false"/>
                <w:bCs w:val="false"/>
                <w:i/>
                <w:iCs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es-ES" w:eastAsia="en-US" w:bidi="ar-SA"/>
              </w:rPr>
              <w:t>Con</w:t>
            </w:r>
            <w:r>
              <w:rPr>
                <w:rFonts w:eastAsia="Calibri" w:cs="Times New Roman"/>
                <w:b w:val="false"/>
                <w:bCs w:val="false"/>
                <w:i/>
                <w:iCs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es-ES" w:eastAsia="en-US" w:bidi="ar-SA"/>
              </w:rPr>
              <w:t xml:space="preserve"> el cual se obtienen los medios de autenticación que el cliente registro durante el flujo de aprovisionamiento de la tarjeta </w:t>
            </w:r>
            <w:r>
              <w:rPr>
                <w:rFonts w:eastAsia="Calibri" w:cs="Times New Roman"/>
                <w:b w:val="false"/>
                <w:bCs w:val="false"/>
                <w:i/>
                <w:iCs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es-ES" w:eastAsia="en-US" w:bidi="ar-SA"/>
              </w:rPr>
              <w:t>haciendo uso del método de seguridad mediante el token de Microsoft</w:t>
            </w:r>
            <w:r>
              <w:rPr>
                <w:rFonts w:eastAsia="Calibri" w:cs="Times New Roman"/>
                <w:b w:val="false"/>
                <w:bCs w:val="false"/>
                <w:i/>
                <w:iCs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es-ES" w:eastAsia="en-US" w:bidi="ar-SA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b/>
                <w:bCs/>
                <w:i/>
                <w:i/>
                <w:iCs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/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939165"/>
                  <wp:effectExtent l="0" t="0" r="0" b="0"/>
                  <wp:wrapSquare wrapText="largest"/>
                  <wp:docPr id="5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93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/>
                <w:i/>
                <w:iCs/>
                <w:color w:val="auto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cs="Times New Roman"/>
                <w:b w:val="false"/>
                <w:bCs w:val="false"/>
                <w:i/>
                <w:iCs/>
                <w:color w:val="auto"/>
                <w:kern w:val="0"/>
                <w:sz w:val="20"/>
                <w:szCs w:val="20"/>
                <w:lang w:eastAsia="en-US" w:bidi="ar-SA"/>
              </w:rPr>
              <w:t xml:space="preserve">Posteriormente son usados los métodos de autenticación para obtener la información como emial o número telefónico y así realizar el envió del OTP, una vez más </w:t>
            </w:r>
            <w:r>
              <w:rPr>
                <w:rFonts w:eastAsia="Calibri" w:cs="Times New Roman"/>
                <w:b w:val="false"/>
                <w:bCs w:val="false"/>
                <w:i/>
                <w:iCs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es-ES" w:eastAsia="en-US" w:bidi="ar-SA"/>
              </w:rPr>
              <w:t>haciendo uso del método de seguridad mediante el token de Microsoft</w:t>
            </w:r>
            <w:r>
              <w:rPr>
                <w:rFonts w:cs="Times New Roman"/>
                <w:b w:val="false"/>
                <w:bCs w:val="false"/>
                <w:i/>
                <w:iCs/>
                <w:color w:val="auto"/>
                <w:kern w:val="0"/>
                <w:sz w:val="20"/>
                <w:szCs w:val="20"/>
                <w:lang w:eastAsia="en-US" w:bidi="ar-SA"/>
              </w:rPr>
              <w:t>: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822325"/>
                  <wp:effectExtent l="0" t="0" r="0" b="0"/>
                  <wp:wrapSquare wrapText="largest"/>
                  <wp:docPr id="6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82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 xml:space="preserve">Paso 4: </w:t>
            </w: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Recepción de c</w:t>
            </w: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 xml:space="preserve">orreo </w:t>
            </w: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a</w:t>
            </w: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 xml:space="preserve">ctivación </w:t>
            </w: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 xml:space="preserve">exitosa </w:t>
            </w: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de tarjeta: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884805"/>
                  <wp:effectExtent l="0" t="0" r="0" b="0"/>
                  <wp:wrapSquare wrapText="largest"/>
                  <wp:docPr id="7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88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ind w:firstLine="720"/>
        <w:jc w:val="right"/>
        <w:rPr/>
      </w:pPr>
      <w:r>
        <w:rPr/>
      </w:r>
    </w:p>
    <w:sectPr>
      <w:headerReference w:type="even" r:id="rId9"/>
      <w:headerReference w:type="default" r:id="rId10"/>
      <w:footerReference w:type="even" r:id="rId11"/>
      <w:footerReference w:type="default" r:id="rId12"/>
      <w:type w:val="nextPage"/>
      <w:pgSz w:w="12240" w:h="15840"/>
      <w:pgMar w:left="1440" w:right="1041" w:gutter="0" w:header="0" w:top="720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u w:val="single"/>
      </w:rPr>
    </w:pPr>
    <w:r>
      <w:rPr>
        <w:u w:val="singl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autoHyphenation w:val="true"/>
  <w:doNotHyphenateCaps/>
  <w:evenAndOddHeader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tru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hanging="0"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hanging="0" w:left="360"/>
    </w:pPr>
    <w:rPr/>
  </w:style>
  <w:style w:type="paragraph" w:styleId="TOC4">
    <w:name w:val="TOC 4"/>
    <w:basedOn w:val="TOC1"/>
    <w:semiHidden/>
    <w:rsid w:val="00ba1b77"/>
    <w:pPr>
      <w:ind w:hanging="0"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semiHidden/>
    <w:rsid w:val="00ba1b77"/>
    <w:pPr>
      <w:ind w:hanging="0" w:left="2880"/>
    </w:pPr>
    <w:rPr/>
  </w:style>
  <w:style w:type="paragraph" w:styleId="TOC2">
    <w:name w:val="TOC 2"/>
    <w:basedOn w:val="TOC1"/>
    <w:semiHidden/>
    <w:rsid w:val="00ba1b77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hanging="0"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hanging="0"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hanging="274"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hanging="274"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hanging="0"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hanging="0"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fals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fals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fals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fals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<Relationship Id="rId19" Type="http://schemas.openxmlformats.org/officeDocument/2006/relationships/customXml" Target="../customXml/item3.xml"/><Relationship Id="rId2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554</TotalTime>
  <Application>LibreOffice/24.2.2.2$Windows_X86_64 LibreOffice_project/d56cc158d8a96260b836f100ef4b4ef25d6f1a01</Application>
  <AppVersion>15.0000</AppVersion>
  <Pages>5</Pages>
  <Words>273</Words>
  <Characters>2434</Characters>
  <CharactersWithSpaces>2784</CharactersWithSpaces>
  <Paragraphs>55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2024-11-01T09:31:34Z</dcterms:modified>
  <cp:revision>43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