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7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ind w:right="-447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MATRIZ DE PRUEBAS TÉCNICAS</w:t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Información del documento</w:t>
      </w:r>
    </w:p>
    <w:tbl>
      <w:tblPr>
        <w:tblW w:w="9973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1"/>
        <w:gridCol w:w="2219"/>
        <w:gridCol w:w="1259"/>
        <w:gridCol w:w="1673"/>
        <w:gridCol w:w="1689"/>
        <w:gridCol w:w="1961"/>
      </w:tblGrid>
      <w:tr>
        <w:trPr>
          <w:trHeight w:val="381" w:hRule="atLeast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ID entregable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entregable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Fecha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del desarrollador quien coordina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Perfil desarrollador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Jefe Desarrollo o Líder técnico que autoriza</w:t>
            </w:r>
          </w:p>
        </w:tc>
      </w:tr>
      <w:tr>
        <w:trPr>
          <w:trHeight w:val="215" w:hRule="atLeast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981863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IS169095 Rechazo en SendPassCode tokenizaciones en wallets con TVISA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id w:val="-208886738"/>
                <w:lock w:val="sdtLocked"/>
                <w:date w:fullDate="2026-10-19T00:00:00Z">
                  <w:dateFormat w:val="d/M/yyyy"/>
                  <w:lid w:val="es-419"/>
                </w:date>
              </w:sdtPr>
              <w:sdtContent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ES" w:bidi="ar-SA"/>
                  </w:rPr>
                </w:r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ES" w:bidi="ar-SA"/>
                  </w:rPr>
                  <w:t>19/10/2026</w:t>
                </w:r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ES" w:bidi="ar-SA"/>
                  </w:rPr>
                </w:r>
              </w:sdtContent>
            </w:sdt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Ricardo Hernández Esquivel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Java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Kenner Gustavo Rivera Huezo</w:t>
            </w:r>
          </w:p>
        </w:tc>
      </w:tr>
      <w:tr>
        <w:trPr>
          <w:trHeight w:val="203" w:hRule="atLeast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</w:tbl>
    <w:p>
      <w:pPr>
        <w:pStyle w:val="Header"/>
        <w:spacing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Datos del entorno de pruebas</w:t>
      </w:r>
    </w:p>
    <w:tbl>
      <w:tblPr>
        <w:tblW w:w="10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1445"/>
        <w:gridCol w:w="2013"/>
        <w:gridCol w:w="1692"/>
        <w:gridCol w:w="1539"/>
        <w:gridCol w:w="1589"/>
      </w:tblGrid>
      <w:tr>
        <w:trPr/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Listar los protocolos seguros que se usó en el desarrollo (si aplica)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Nombre del servidor donde se realiza las pruebas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Nombre y versión del lenguaje de programación con el que se desarrolló (si aplica)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Aplicaciones utilizadas para hacer pruebas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Hubo excepciones de código seguro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Aplica Análisis de Seguridad</w:t>
            </w:r>
          </w:p>
        </w:tc>
      </w:tr>
      <w:tr>
        <w:trPr>
          <w:trHeight w:val="60" w:hRule="atLeast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[No Aplica]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Java 21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Postman, SpringToolSuit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</w:dropDownList>
              </w:sdtPr>
              <w:sdtContent>
                <w:r>
                  <w:rPr/>
                </w:r>
                <w:r>
                  <w:rPr/>
                  <w:t>Elija un elemento.</w:t>
                </w:r>
              </w:sdtContent>
            </w:sdt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</w:dropDownList>
              </w:sdtPr>
              <w:sdtContent>
                <w:r>
                  <w:rPr/>
                </w:r>
                <w:r>
                  <w:rPr/>
                  <w:t>Elija un elemento.</w:t>
                </w:r>
              </w:sdtContent>
            </w:sdt>
          </w:p>
        </w:tc>
      </w:tr>
    </w:tbl>
    <w:p>
      <w:pPr>
        <w:pStyle w:val="Header"/>
        <w:spacing w:before="0" w:after="0"/>
        <w:rPr>
          <w:rFonts w:ascii="Arial" w:hAnsi="Arial" w:cs="Arial"/>
          <w:bCs/>
          <w:i/>
          <w:i/>
          <w:iCs/>
          <w:sz w:val="14"/>
          <w:szCs w:val="12"/>
        </w:rPr>
      </w:pPr>
      <w:r>
        <w:rPr>
          <w:rFonts w:cs="Arial" w:ascii="Arial" w:hAnsi="Arial"/>
          <w:bCs/>
          <w:i/>
          <w:iCs/>
          <w:sz w:val="14"/>
          <w:szCs w:val="12"/>
        </w:rPr>
        <w:t>*Utilizar la versión de lenguaje de programación y utilizar los protocolos autorizados.</w:t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Actividades por probar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84"/>
        <w:gridCol w:w="1472"/>
        <w:gridCol w:w="1298"/>
        <w:gridCol w:w="1525"/>
      </w:tblGrid>
      <w:tr>
        <w:trPr/>
        <w:tc>
          <w:tcPr>
            <w:tcW w:w="5784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Criterios de aceptación</w:t>
            </w:r>
          </w:p>
        </w:tc>
        <w:tc>
          <w:tcPr>
            <w:tcW w:w="4295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Resultado (indicarlo con una “X” el resultado)</w:t>
            </w:r>
          </w:p>
        </w:tc>
      </w:tr>
      <w:tr>
        <w:trPr/>
        <w:tc>
          <w:tcPr>
            <w:tcW w:w="5784" w:type="dxa"/>
            <w:vMerge w:val="continue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0" w:after="240"/>
              <w:jc w:val="left"/>
              <w:textAlignment w:val="baseline"/>
              <w:rPr/>
            </w:pPr>
            <w:r>
              <w:rPr/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Aprobado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Pendiente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Observaciones</w:t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Georgia" w:hAnsi="Georgia" w:eastAsia="Times New Roman" w:cs="Arial"/>
                <w:b/>
                <w:bCs/>
                <w:color w:val="000000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Arial" w:ascii="Georgia" w:hAnsi="Georgia"/>
                <w:b/>
                <w:bCs/>
                <w:color w:val="000000"/>
                <w:kern w:val="0"/>
                <w:sz w:val="20"/>
                <w:szCs w:val="20"/>
                <w:lang w:bidi="ar-SA"/>
              </w:rPr>
              <w:t>-: Api CheckElegibility :-</w:t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pacing w:before="0" w:after="0"/>
              <w:jc w:val="both"/>
              <w:rPr/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Se realizan adecuaciones en api para poder accionar los flujos amarillos de Google Pay y Apple Pay respondiendo con 85 cada vez que recibamos una recomendación verde para activar los métodos de autenticación para identificar al cliente y activar el token esto para los tokenRequestorID de wallets para MDES:</w:t>
            </w:r>
          </w:p>
          <w:p>
            <w:pPr>
              <w:pStyle w:val="Header"/>
              <w:widowControl/>
              <w:numPr>
                <w:ilvl w:val="0"/>
                <w:numId w:val="0"/>
              </w:numPr>
              <w:spacing w:before="0" w:after="0"/>
              <w:ind w:hanging="0" w:left="1080"/>
              <w:jc w:val="both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1"/>
                <w:numId w:val="2"/>
              </w:numPr>
              <w:spacing w:before="0" w:after="0"/>
              <w:jc w:val="both"/>
              <w:rPr>
                <w:color w:val="000080"/>
              </w:rPr>
            </w:pPr>
            <w:r>
              <w:rPr>
                <w:rFonts w:eastAsia="Times New Roman" w:cs="Arial" w:ascii="Arial" w:hAnsi="Arial"/>
                <w:b/>
                <w:bCs/>
                <w:color w:val="000080"/>
                <w:kern w:val="0"/>
                <w:sz w:val="18"/>
                <w:szCs w:val="18"/>
                <w:lang w:bidi="ar-SA"/>
              </w:rPr>
              <w:t>ApplePay - 50110030273</w:t>
            </w:r>
          </w:p>
          <w:p>
            <w:pPr>
              <w:pStyle w:val="Header"/>
              <w:widowControl/>
              <w:numPr>
                <w:ilvl w:val="1"/>
                <w:numId w:val="2"/>
              </w:numPr>
              <w:spacing w:before="0" w:after="0"/>
              <w:jc w:val="both"/>
              <w:rPr>
                <w:color w:val="000080"/>
              </w:rPr>
            </w:pPr>
            <w:r>
              <w:rPr>
                <w:rFonts w:eastAsia="Times New Roman" w:cs="Arial" w:ascii="Arial" w:hAnsi="Arial"/>
                <w:b/>
                <w:bCs/>
                <w:color w:val="000080"/>
                <w:kern w:val="0"/>
                <w:sz w:val="18"/>
                <w:szCs w:val="18"/>
                <w:lang w:bidi="ar-SA"/>
              </w:rPr>
              <w:t>GooglePay - 50120834693</w:t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Prueba con el tokenRequestorID ApplePay 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val="es-SV" w:eastAsia="en-US" w:bidi="ar-SA"/>
              </w:rPr>
              <w:t>50110030273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 para MasterCard: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5C8526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5C8526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972435"/>
                  <wp:effectExtent l="0" t="0" r="0" b="0"/>
                  <wp:wrapSquare wrapText="largest"/>
                  <wp:docPr id="1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97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(85):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8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8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155825"/>
                  <wp:effectExtent l="0" t="0" r="0" b="0"/>
                  <wp:wrapSquare wrapText="largest"/>
                  <wp:docPr id="2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15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Prueba con el tokenRequestorID GooglePay 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val="es-SV" w:eastAsia="en-US" w:bidi="ar-SA"/>
              </w:rPr>
              <w:t>50120834693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 para MasterCard: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893060"/>
                  <wp:effectExtent l="0" t="0" r="0" b="0"/>
                  <wp:wrapSquare wrapText="largest"/>
                  <wp:docPr id="3" name="Imagen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89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(85):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155825"/>
                  <wp:effectExtent l="0" t="0" r="0" b="0"/>
                  <wp:wrapSquare wrapText="largest"/>
                  <wp:docPr id="4" name="Imagen2 Copia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2 Copia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15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Prueba de no afectación con el tokenRequestorID ApplePay 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val="es-SV" w:eastAsia="en-US" w:bidi="ar-SA"/>
              </w:rPr>
              <w:t>40010030273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 para VISA: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849880"/>
                  <wp:effectExtent l="0" t="0" r="0" b="0"/>
                  <wp:wrapSquare wrapText="largest"/>
                  <wp:docPr id="5" name="Imagen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84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1135380"/>
                  <wp:effectExtent l="0" t="0" r="0" b="0"/>
                  <wp:wrapSquare wrapText="largest"/>
                  <wp:docPr id="6" name="Imagen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113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Prueba de no afectación con el tokenRequestorID GooglePay 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val="es-SV" w:eastAsia="en-US" w:bidi="ar-SA"/>
              </w:rPr>
              <w:t>40010075001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 para VISA: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968625"/>
                  <wp:effectExtent l="0" t="0" r="0" b="0"/>
                  <wp:wrapSquare wrapText="largest"/>
                  <wp:docPr id="7" name="Imagen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96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/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1135380"/>
                  <wp:effectExtent l="0" t="0" r="0" b="0"/>
                  <wp:wrapSquare wrapText="largest"/>
                  <wp:docPr id="8" name="Imagen9 Copia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9 Copia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113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</w:tbl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Observaciones por considerar:</w:t>
      </w:r>
    </w:p>
    <w:tbl>
      <w:tblPr>
        <w:tblW w:w="100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0"/>
      </w:tblGrid>
      <w:tr>
        <w:trPr/>
        <w:tc>
          <w:tcPr>
            <w:tcW w:w="10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</w:tbl>
    <w:p>
      <w:pPr>
        <w:pStyle w:val="Normal"/>
        <w:spacing w:before="0" w:after="240"/>
        <w:rPr>
          <w:sz w:val="18"/>
          <w:szCs w:val="18"/>
        </w:rPr>
      </w:pPr>
      <w:r>
        <w:rPr>
          <w:sz w:val="18"/>
          <w:szCs w:val="18"/>
        </w:rPr>
      </w:r>
    </w:p>
    <w:sectPr>
      <w:headerReference w:type="even" r:id="rId10"/>
      <w:headerReference w:type="default" r:id="rId11"/>
      <w:headerReference w:type="first" r:id="rId12"/>
      <w:footerReference w:type="even" r:id="rId13"/>
      <w:footerReference w:type="default" r:id="rId14"/>
      <w:footerReference w:type="first" r:id="rId15"/>
      <w:type w:val="oddPage"/>
      <w:pgSz w:w="12240" w:h="15840"/>
      <w:pgMar w:left="1080" w:right="1080" w:gutter="0" w:header="720" w:top="1003" w:footer="520" w:bottom="803"/>
      <w:paperSrc w:first="0" w:other="0"/>
      <w:paperSrc w:first="0" w:other="0"/>
      <w:pgNumType w:fmt="decimal"/>
      <w:formProt w:val="false"/>
      <w:titlePg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Georgia">
    <w:charset w:val="00"/>
    <w:family w:val="roman"/>
    <w:pitch w:val="variable"/>
  </w:font>
  <w:font w:name="Consolas"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>
        <w:rFonts w:ascii="Arial" w:hAnsi="Arial" w:cs="Arial"/>
      </w:rPr>
    </w:pPr>
    <w:r>
      <w:rPr>
        <w:rFonts w:cs="Arial" w:ascii="Arial" w:hAnsi="Arial"/>
      </w:rPr>
      <w:t>REG-DIN-001</w:t>
      <w:tab/>
    </w:r>
    <w:r>
      <w:rPr>
        <w:rStyle w:val="Pagenumber"/>
        <w:rFonts w:cs="Arial" w:ascii="Arial" w:hAnsi="Arial"/>
      </w:rPr>
      <w:t xml:space="preserve">Página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PAGE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0</w:t>
    </w:r>
    <w:r>
      <w:rPr>
        <w:rStyle w:val="Pagenumber"/>
        <w:rFonts w:cs="Arial" w:ascii="Arial" w:hAnsi="Arial"/>
      </w:rPr>
      <w:fldChar w:fldCharType="end"/>
    </w:r>
    <w:r>
      <w:rPr>
        <w:rStyle w:val="Pagenumber"/>
        <w:rFonts w:cs="Arial" w:ascii="Arial" w:hAnsi="Arial"/>
      </w:rPr>
      <w:t xml:space="preserve"> de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NUMPAGES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5</w:t>
    </w:r>
    <w:r>
      <w:rPr>
        <w:rStyle w:val="Pagenumber"/>
        <w:rFonts w:cs="Arial" w:ascii="Arial" w:hAnsi="Arial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0000"/>
      </w:pBdr>
      <w:tabs>
        <w:tab w:val="clear" w:pos="4666"/>
        <w:tab w:val="clear" w:pos="9360"/>
        <w:tab w:val="right" w:pos="9533" w:leader="none"/>
      </w:tabs>
      <w:rPr>
        <w:rFonts w:ascii="Arial" w:hAnsi="Arial" w:cs="Arial"/>
      </w:rPr>
    </w:pPr>
    <w:r>
      <w:rPr>
        <w:rFonts w:cs="Arial" w:ascii="Arial" w:hAnsi="Arial"/>
      </w:rPr>
      <w:t>REG-DIN-013</w:t>
      <w:tab/>
    </w:r>
    <w:r>
      <w:rPr>
        <w:rStyle w:val="Pagenumber"/>
        <w:rFonts w:cs="Arial" w:ascii="Arial" w:hAnsi="Arial"/>
      </w:rPr>
      <w:t xml:space="preserve">Página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PAGE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1</w:t>
    </w:r>
    <w:r>
      <w:rPr>
        <w:rStyle w:val="Pagenumber"/>
        <w:rFonts w:cs="Arial" w:ascii="Arial" w:hAnsi="Arial"/>
      </w:rPr>
      <w:fldChar w:fldCharType="end"/>
    </w:r>
    <w:r>
      <w:rPr>
        <w:rStyle w:val="Pagenumber"/>
        <w:rFonts w:cs="Arial" w:ascii="Arial" w:hAnsi="Arial"/>
      </w:rPr>
      <w:t xml:space="preserve"> de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NUMPAGES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5</w:t>
    </w:r>
    <w:r>
      <w:rPr>
        <w:rStyle w:val="Pagenumber"/>
        <w:rFonts w:cs="Arial" w:ascii="Arial" w:hAnsi="Arial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9" name="Imagen 5 Copia 1 Copia 1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5 Copia 1 Copia 1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10" name="Imagen 6 Copia 1 Copia 1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6 Copia 1 Copia 1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"/>
      <w:ind w:right="-448"/>
      <w:jc w:val="right"/>
      <w:rPr>
        <w:rFonts w:ascii="Arial" w:hAnsi="Arial"/>
        <w:sz w:val="18"/>
        <w:szCs w:val="18"/>
      </w:rPr>
    </w:pPr>
    <w:r>
      <w:rPr/>
      <w:drawing>
        <wp:inline distT="0" distB="0" distL="0" distR="0">
          <wp:extent cx="3619500" cy="732790"/>
          <wp:effectExtent l="0" t="0" r="0" b="0"/>
          <wp:docPr id="11" name="Imagen 4 Copia 1 Copia 1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4 Copia 1 Copia 1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</w:rPr>
      <w:t xml:space="preserve">             </w:t>
    </w:r>
    <w:r>
      <w:rPr/>
      <w:drawing>
        <wp:inline distT="0" distB="0" distL="0" distR="0">
          <wp:extent cx="2434590" cy="733425"/>
          <wp:effectExtent l="0" t="0" r="0" b="0"/>
          <wp:docPr id="12" name="Imagen 3 Copia 1 Copia 1 Copia 1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3 Copia 1 Copia 1 Copia 1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sz w:val="18"/>
        <w:szCs w:val="18"/>
      </w:rPr>
      <w:t>Dirección de Servicios de Tecnologia</w:t>
    </w:r>
    <w:r>
      <w:rPr>
        <w:rFonts w:ascii="Arial" w:hAnsi="Arial"/>
        <w:color w:themeColor="light1" w:val="FFFFFF"/>
        <w:sz w:val="18"/>
        <w:szCs w:val="18"/>
      </w:rPr>
      <w:t>......</w:t>
    </w:r>
  </w:p>
  <w:p>
    <w:pPr>
      <w:pStyle w:val="Header"/>
      <w:spacing w:before="0" w:after="20"/>
      <w:ind w:right="-448"/>
      <w:jc w:val="right"/>
      <w:rPr>
        <w:rFonts w:ascii="Arial" w:hAnsi="Arial"/>
        <w:sz w:val="18"/>
        <w:szCs w:val="18"/>
      </w:rPr>
    </w:pPr>
    <w:r>
      <w:rPr>
        <w:rFonts w:ascii="Arial" w:hAnsi="Arial"/>
        <w:sz w:val="18"/>
        <w:szCs w:val="18"/>
      </w:rPr>
      <w:t>Forma: REG-DIN-013</w:t>
    </w:r>
    <w:r>
      <w:rPr>
        <w:rFonts w:ascii="Arial" w:hAnsi="Arial"/>
        <w:color w:themeColor="light1" w:val="FFFFFF"/>
        <w:sz w:val="18"/>
        <w:szCs w:val="18"/>
      </w:rPr>
      <w:t>......</w:t>
    </w:r>
  </w:p>
  <w:p>
    <w:pPr>
      <w:pStyle w:val="Header"/>
      <w:spacing w:before="0" w:after="0"/>
      <w:jc w:val="right"/>
      <w:rPr>
        <w:sz w:val="18"/>
      </w:rPr>
    </w:pPr>
    <w:r>
      <w:rPr>
        <w:sz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doNotHyphenateCaps/>
  <w:hyphenationZone w:val="425"/>
  <w:evenAndOddHeaders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qFormat/>
    <w:pPr>
      <w:numPr>
        <w:ilvl w:val="0"/>
        <w:numId w:val="0"/>
      </w:num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0"/>
      </w:numPr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0"/>
      </w:numPr>
      <w:outlineLvl w:val="2"/>
    </w:pPr>
    <w:rPr>
      <w:b/>
    </w:rPr>
  </w:style>
  <w:style w:type="paragraph" w:styleId="Heading4">
    <w:name w:val="Heading 4"/>
    <w:basedOn w:val="Normal"/>
    <w:next w:val="NormalIndent"/>
    <w:qFormat/>
    <w:pPr>
      <w:keepNext w:val="true"/>
      <w:numPr>
        <w:ilvl w:val="0"/>
        <w:numId w:val="0"/>
      </w:numPr>
      <w:ind w:left="547"/>
      <w:outlineLvl w:val="3"/>
    </w:pPr>
    <w:rPr>
      <w:b/>
    </w:rPr>
  </w:style>
  <w:style w:type="paragraph" w:styleId="Heading5">
    <w:name w:val="Heading 5"/>
    <w:basedOn w:val="Normal"/>
    <w:next w:val="NormalIndent"/>
    <w:qFormat/>
    <w:pPr>
      <w:numPr>
        <w:ilvl w:val="0"/>
        <w:numId w:val="0"/>
      </w:numPr>
      <w:ind w:left="720"/>
      <w:outlineLvl w:val="4"/>
    </w:pPr>
    <w:rPr>
      <w:rFonts w:ascii="Times" w:hAnsi="Times"/>
      <w:b/>
      <w:sz w:val="20"/>
    </w:rPr>
  </w:style>
  <w:style w:type="paragraph" w:styleId="Heading6">
    <w:name w:val="Heading 6"/>
    <w:basedOn w:val="Normal"/>
    <w:next w:val="NormalIndent"/>
    <w:qFormat/>
    <w:pPr>
      <w:numPr>
        <w:ilvl w:val="0"/>
        <w:numId w:val="0"/>
      </w:numPr>
      <w:ind w:left="720"/>
      <w:outlineLvl w:val="5"/>
    </w:pPr>
    <w:rPr>
      <w:rFonts w:ascii="Times" w:hAnsi="Times"/>
      <w:sz w:val="20"/>
      <w:u w:val="single"/>
    </w:rPr>
  </w:style>
  <w:style w:type="paragraph" w:styleId="Heading7">
    <w:name w:val="Heading 7"/>
    <w:basedOn w:val="Normal"/>
    <w:next w:val="NormalIndent"/>
    <w:qFormat/>
    <w:pPr>
      <w:numPr>
        <w:ilvl w:val="0"/>
        <w:numId w:val="0"/>
      </w:numPr>
      <w:ind w:left="720"/>
      <w:outlineLvl w:val="6"/>
    </w:pPr>
    <w:rPr>
      <w:rFonts w:ascii="Times" w:hAnsi="Times"/>
      <w:i/>
      <w:sz w:val="20"/>
    </w:rPr>
  </w:style>
  <w:style w:type="paragraph" w:styleId="Heading8">
    <w:name w:val="Heading 8"/>
    <w:basedOn w:val="Normal"/>
    <w:next w:val="NormalIndent"/>
    <w:qFormat/>
    <w:pPr>
      <w:numPr>
        <w:ilvl w:val="0"/>
        <w:numId w:val="0"/>
      </w:numPr>
      <w:ind w:left="720"/>
      <w:outlineLvl w:val="7"/>
    </w:pPr>
    <w:rPr>
      <w:rFonts w:ascii="Times" w:hAnsi="Times"/>
      <w:i/>
      <w:sz w:val="20"/>
    </w:rPr>
  </w:style>
  <w:style w:type="paragraph" w:styleId="Heading9">
    <w:name w:val="Heading 9"/>
    <w:basedOn w:val="Normal"/>
    <w:next w:val="NormalIndent"/>
    <w:qFormat/>
    <w:pPr>
      <w:numPr>
        <w:ilvl w:val="0"/>
        <w:numId w:val="0"/>
      </w:numPr>
      <w:ind w:left="720"/>
      <w:outlineLvl w:val="8"/>
    </w:pPr>
    <w:rPr>
      <w:rFonts w:ascii="Times" w:hAnsi="Times"/>
      <w:i/>
      <w:sz w:val="20"/>
    </w:rPr>
  </w:style>
  <w:style w:type="character" w:styleId="DefaultParagraphFont">
    <w:name w:val="Default Paragraph Font"/>
    <w:qFormat/>
    <w:rPr/>
  </w:style>
  <w:style w:type="character" w:styleId="Caracteresdenotaalpie">
    <w:name w:val="Caracteres de nota al pie"/>
    <w:qFormat/>
    <w:rPr>
      <w:sz w:val="16"/>
      <w:vertAlign w:val="superscript"/>
    </w:rPr>
  </w:style>
  <w:style w:type="character" w:styleId="FootnoteReference">
    <w:name w:val="Footnote Reference"/>
    <w:rPr>
      <w:sz w:val="16"/>
      <w:vertAlign w:val="superscript"/>
    </w:rPr>
  </w:style>
  <w:style w:type="character" w:styleId="Pagenumber">
    <w:name w:val="page number"/>
    <w:basedOn w:val="DefaultParagraph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PiedepginaCar">
    <w:name w:val="Pie de página Car"/>
    <w:basedOn w:val="DefaultParagraphFont"/>
    <w:qFormat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TextocomentarioCar">
    <w:name w:val="Texto comentario Car"/>
    <w:basedOn w:val="DefaultParagraphFont"/>
    <w:link w:val="Annotationtext"/>
    <w:qFormat/>
    <w:rPr>
      <w:rFonts w:ascii="Helvetica" w:hAnsi="Helvetica"/>
      <w:lang w:val="es-SV" w:eastAsia="en-US"/>
    </w:rPr>
  </w:style>
  <w:style w:type="character" w:styleId="AsuntodelcomentarioCar">
    <w:name w:val="Asunto del comentario Car"/>
    <w:basedOn w:val="TextocomentarioCar"/>
    <w:link w:val="Annotationsubject"/>
    <w:qFormat/>
    <w:rPr>
      <w:rFonts w:ascii="Helvetica" w:hAnsi="Helvetica"/>
      <w:b/>
      <w:bCs/>
      <w:lang w:val="es-SV" w:eastAsia="en-US"/>
    </w:rPr>
  </w:style>
  <w:style w:type="character" w:styleId="EncabezadoCar">
    <w:name w:val="Encabezado Car"/>
    <w:qFormat/>
    <w:rPr>
      <w:rFonts w:ascii="Helvetica" w:hAnsi="Helvetica"/>
      <w:sz w:val="22"/>
      <w:lang w:val="es-SV" w:eastAsia="en-US"/>
    </w:rPr>
  </w:style>
  <w:style w:type="character" w:styleId="TextodegloboCar">
    <w:name w:val="Texto de globo Car"/>
    <w:basedOn w:val="DefaultParagraphFont"/>
    <w:link w:val="BalloonText"/>
    <w:qFormat/>
    <w:rPr>
      <w:rFonts w:ascii="Tahoma" w:hAnsi="Tahoma" w:cs="Tahoma"/>
      <w:sz w:val="16"/>
      <w:szCs w:val="16"/>
      <w:lang w:val="es-SV" w:eastAsia="en-US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Indent">
    <w:name w:val="Normal Indent"/>
    <w:basedOn w:val="Normal"/>
    <w:qFormat/>
    <w:pPr>
      <w:ind w:left="360"/>
    </w:pPr>
    <w:rPr/>
  </w:style>
  <w:style w:type="paragraph" w:styleId="TOC4">
    <w:name w:val="TOC 4"/>
    <w:basedOn w:val="TOC1"/>
    <w:pPr>
      <w:ind w:left="3240" w:right="1200"/>
    </w:pPr>
    <w:rPr/>
  </w:style>
  <w:style w:type="paragraph" w:styleId="TOC1">
    <w:name w:val="TOC 1"/>
    <w:basedOn w:val="Normal"/>
    <w:pPr>
      <w:keepNext w:val="true"/>
      <w:keepLines/>
      <w:tabs>
        <w:tab w:val="clear" w:pos="720"/>
        <w:tab w:val="right" w:pos="8400" w:leader="dot"/>
      </w:tabs>
      <w:ind w:left="2160"/>
    </w:pPr>
    <w:rPr/>
  </w:style>
  <w:style w:type="paragraph" w:styleId="TOC3">
    <w:name w:val="TOC 3"/>
    <w:basedOn w:val="TOC2"/>
    <w:pPr>
      <w:ind w:left="2880"/>
    </w:pPr>
    <w:rPr/>
  </w:style>
  <w:style w:type="paragraph" w:styleId="TOC2">
    <w:name w:val="TOC 2"/>
    <w:basedOn w:val="TOC1"/>
    <w:pPr>
      <w:ind w:left="2520" w:right="1200"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pPr>
      <w:tabs>
        <w:tab w:val="clear" w:pos="720"/>
        <w:tab w:val="left" w:pos="8400" w:leader="none"/>
      </w:tabs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Formcaption5pt">
    <w:name w:val="form caption 5pt"/>
    <w:basedOn w:val="Normal"/>
    <w:qFormat/>
    <w:pPr>
      <w:spacing w:before="2" w:after="2"/>
      <w:ind w:left="-72"/>
    </w:pPr>
    <w:rPr>
      <w:rFonts w:ascii="Arial" w:hAnsi="Arial"/>
      <w:caps/>
      <w:sz w:val="10"/>
    </w:rPr>
  </w:style>
  <w:style w:type="paragraph" w:styleId="Guidelines11pt">
    <w:name w:val="guidelines 11pt"/>
    <w:basedOn w:val="Formhead9pt"/>
    <w:qFormat/>
    <w:pPr/>
    <w:rPr>
      <w:sz w:val="22"/>
    </w:rPr>
  </w:style>
  <w:style w:type="paragraph" w:styleId="Formhead9pt">
    <w:name w:val="form head 9pt"/>
    <w:basedOn w:val="Normalt"/>
    <w:qFormat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Normalt">
    <w:name w:val="Normalt"/>
    <w:basedOn w:val="Normal"/>
    <w:qFormat/>
    <w:pPr/>
    <w:rPr>
      <w:rFonts w:ascii="Times" w:hAnsi="Times"/>
    </w:rPr>
  </w:style>
  <w:style w:type="paragraph" w:styleId="Guidelineleft">
    <w:name w:val="guideline left"/>
    <w:basedOn w:val="Normal"/>
    <w:qFormat/>
    <w:pPr>
      <w:spacing w:before="60" w:after="60"/>
    </w:pPr>
    <w:rPr>
      <w:b/>
      <w:sz w:val="18"/>
    </w:rPr>
  </w:style>
  <w:style w:type="paragraph" w:styleId="Formspace">
    <w:name w:val="form space"/>
    <w:basedOn w:val="Normal"/>
    <w:qFormat/>
    <w:pPr>
      <w:spacing w:before="60" w:after="60"/>
    </w:pPr>
    <w:rPr>
      <w:sz w:val="18"/>
    </w:rPr>
  </w:style>
  <w:style w:type="paragraph" w:styleId="Heading4t">
    <w:name w:val="heading 4t"/>
    <w:basedOn w:val="Heading3t"/>
    <w:next w:val="NormalIndent"/>
    <w:qFormat/>
    <w:pPr>
      <w:ind w:left="547"/>
    </w:pPr>
    <w:rPr/>
  </w:style>
  <w:style w:type="paragraph" w:styleId="Heading3t">
    <w:name w:val="heading 3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2"/>
    </w:rPr>
  </w:style>
  <w:style w:type="paragraph" w:styleId="Heading2t">
    <w:name w:val="heading 2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6"/>
    </w:rPr>
  </w:style>
  <w:style w:type="paragraph" w:styleId="Instruction">
    <w:name w:val="instruction"/>
    <w:basedOn w:val="Normalt"/>
    <w:qFormat/>
    <w:pPr>
      <w:ind w:left="-115"/>
      <w:jc w:val="both"/>
    </w:pPr>
    <w:rPr/>
  </w:style>
  <w:style w:type="paragraph" w:styleId="Checklist1line">
    <w:name w:val="checklist 1line"/>
    <w:basedOn w:val="Checklistpara"/>
    <w:qFormat/>
    <w:pPr>
      <w:spacing w:before="120" w:after="120"/>
    </w:pPr>
    <w:rPr>
      <w:rFonts w:ascii="Times" w:hAnsi="Times"/>
    </w:rPr>
  </w:style>
  <w:style w:type="paragraph" w:styleId="Checklistpara">
    <w:name w:val="checklist para"/>
    <w:basedOn w:val="Formspace"/>
    <w:qFormat/>
    <w:pPr>
      <w:spacing w:before="0" w:after="240"/>
    </w:pPr>
    <w:rPr/>
  </w:style>
  <w:style w:type="paragraph" w:styleId="Text-bullet">
    <w:name w:val="Text - bullet"/>
    <w:basedOn w:val="Normal"/>
    <w:qFormat/>
    <w:pPr>
      <w:ind w:hanging="274" w:left="835"/>
    </w:pPr>
    <w:rPr/>
  </w:style>
  <w:style w:type="paragraph" w:styleId="Text-bullettight">
    <w:name w:val="Text - bullet tight"/>
    <w:basedOn w:val="Text-bullet"/>
    <w:qFormat/>
    <w:pPr>
      <w:spacing w:before="0" w:after="0"/>
    </w:pPr>
    <w:rPr/>
  </w:style>
  <w:style w:type="paragraph" w:styleId="NormalIndent-t">
    <w:name w:val="Normal Indent-t"/>
    <w:basedOn w:val="NormalIndent"/>
    <w:qFormat/>
    <w:pPr/>
    <w:rPr>
      <w:rFonts w:ascii="Times" w:hAnsi="Times"/>
    </w:rPr>
  </w:style>
  <w:style w:type="paragraph" w:styleId="Text-bulletsub">
    <w:name w:val="Text - bullet sub"/>
    <w:basedOn w:val="Text-bullet"/>
    <w:qFormat/>
    <w:pPr>
      <w:ind w:left="1094"/>
    </w:pPr>
    <w:rPr/>
  </w:style>
  <w:style w:type="paragraph" w:styleId="Text-bulletsubtight">
    <w:name w:val="Text - bullet sub tight"/>
    <w:basedOn w:val="Text-bullettight"/>
    <w:qFormat/>
    <w:pPr>
      <w:ind w:left="1094"/>
    </w:pPr>
    <w:rPr/>
  </w:style>
  <w:style w:type="paragraph" w:styleId="Text-number">
    <w:name w:val="Text - number"/>
    <w:basedOn w:val="Normal"/>
    <w:qFormat/>
    <w:pPr>
      <w:tabs>
        <w:tab w:val="clear" w:pos="720"/>
        <w:tab w:val="decimal" w:pos="295" w:leader="none"/>
      </w:tabs>
      <w:spacing w:before="0" w:after="0"/>
      <w:ind w:hanging="533" w:left="533"/>
    </w:pPr>
    <w:rPr/>
  </w:style>
  <w:style w:type="paragraph" w:styleId="Text-numbertight">
    <w:name w:val="Text - number tight"/>
    <w:basedOn w:val="Text-number"/>
    <w:qFormat/>
    <w:pPr/>
    <w:rPr/>
  </w:style>
  <w:style w:type="paragraph" w:styleId="Formhead8pt">
    <w:name w:val="form head 8pt"/>
    <w:basedOn w:val="Instruction"/>
    <w:qFormat/>
    <w:pPr/>
    <w:rPr/>
  </w:style>
  <w:style w:type="paragraph" w:styleId="Formcaption9pt">
    <w:name w:val="form caption 9pt"/>
    <w:basedOn w:val="Formcaption5pt"/>
    <w:qFormat/>
    <w:pPr>
      <w:spacing w:before="40" w:after="40"/>
      <w:ind w:left="0"/>
      <w:jc w:val="center"/>
    </w:pPr>
    <w:rPr>
      <w:b/>
      <w:sz w:val="18"/>
    </w:rPr>
  </w:style>
  <w:style w:type="paragraph" w:styleId="Checklisthead">
    <w:name w:val="checklist head"/>
    <w:basedOn w:val="Guidelines11pt"/>
    <w:qFormat/>
    <w:pPr>
      <w:spacing w:before="120" w:after="120"/>
      <w:ind w:left="0"/>
    </w:pPr>
    <w:rPr/>
  </w:style>
  <w:style w:type="paragraph" w:styleId="Checklist2line">
    <w:name w:val="checklist 2line"/>
    <w:basedOn w:val="Checklist1line"/>
    <w:qFormat/>
    <w:pPr>
      <w:spacing w:before="24" w:after="24"/>
    </w:pPr>
    <w:rPr/>
  </w:style>
  <w:style w:type="paragraph" w:styleId="Formcaption7pt">
    <w:name w:val="form caption 7pt"/>
    <w:basedOn w:val="Normal"/>
    <w:qFormat/>
    <w:pPr>
      <w:spacing w:before="80" w:after="60"/>
    </w:pPr>
    <w:rPr>
      <w:sz w:val="14"/>
    </w:rPr>
  </w:style>
  <w:style w:type="paragraph" w:styleId="Blankpage">
    <w:name w:val="blank page"/>
    <w:basedOn w:val="Normal"/>
    <w:qFormat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>
    <w:name w:val="text"/>
    <w:qFormat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-Closing">
    <w:name w:val="Txt - Closing"/>
    <w:basedOn w:val="Normal"/>
    <w:qFormat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left="4320"/>
    </w:pPr>
    <w:rPr>
      <w:rFonts w:ascii="Times New Roman" w:hAnsi="Times New Roman"/>
      <w:sz w:val="24"/>
    </w:rPr>
  </w:style>
  <w:style w:type="paragraph" w:styleId="BodyTextIndent">
    <w:name w:val="Body Text Indent"/>
    <w:basedOn w:val="BodyText"/>
    <w:pPr>
      <w:overflowPunct w:val="false"/>
      <w:spacing w:lineRule="atLeast" w:line="240" w:before="0" w:after="240"/>
      <w:ind w:firstLine="360" w:left="360"/>
      <w:jc w:val="both"/>
      <w:textAlignment w:val="auto"/>
    </w:pPr>
    <w:rPr>
      <w:rFonts w:ascii="Garamond" w:hAnsi="Garamond"/>
      <w:lang w:val="es-ES"/>
    </w:rPr>
  </w:style>
  <w:style w:type="paragraph" w:styleId="TableHeaderCenter">
    <w:name w:val="Table Header Center"/>
    <w:basedOn w:val="Normal"/>
    <w:qFormat/>
    <w:pPr>
      <w:overflowPunct w:val="fals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qFormat/>
    <w:pPr/>
    <w:rPr>
      <w:rFonts w:ascii="Tahoma" w:hAnsi="Tahoma" w:cs="Tahoma"/>
      <w:sz w:val="16"/>
      <w:szCs w:val="16"/>
    </w:rPr>
  </w:style>
  <w:style w:type="paragraph" w:styleId="Body">
    <w:name w:val="Body"/>
    <w:basedOn w:val="Normal"/>
    <w:qFormat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styleId="Sangria1">
    <w:name w:val="Sangria 1"/>
    <w:basedOn w:val="Parrafo1"/>
    <w:qFormat/>
    <w:pPr>
      <w:numPr>
        <w:ilvl w:val="0"/>
        <w:numId w:val="1"/>
      </w:numPr>
    </w:pPr>
    <w:rPr/>
  </w:style>
  <w:style w:type="paragraph" w:styleId="Parrafo1">
    <w:name w:val="Parrafo 1"/>
    <w:basedOn w:val="BodyText"/>
    <w:qFormat/>
    <w:pPr>
      <w:overflowPunct w:val="fals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qFormat/>
    <w:pPr>
      <w:overflowPunct w:val="false"/>
      <w:spacing w:lineRule="auto" w:line="276" w:before="0" w:after="0"/>
      <w:ind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pPr/>
    <w:rPr>
      <w:b/>
      <w:bCs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2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5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7.jpeg"/><Relationship Id="rId2" Type="http://schemas.openxmlformats.org/officeDocument/2006/relationships/image" Target="media/image7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SAMP1_08</Template>
  <TotalTime>1834</TotalTime>
  <Application>LibreOffice/24.2.2.2$Windows_X86_64 LibreOffice_project/d56cc158d8a96260b836f100ef4b4ef25d6f1a01</Application>
  <AppVersion>15.0000</AppVersion>
  <Pages>5</Pages>
  <Words>298</Words>
  <Characters>1711</Characters>
  <CharactersWithSpaces>1961</CharactersWithSpaces>
  <Paragraphs>57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2021-07-21T16:42:00Z</dcterms:created>
  <dc:creator>aggiron</dc:creator>
  <dc:description>Información resultado de reunión de trabajo para plantear la solución al requerimiento.</dc:description>
  <dc:language>es-AR</dc:language>
  <cp:lastModifiedBy/>
  <cp:lastPrinted>2026-10-09T10:18:21Z</cp:lastPrinted>
  <dcterms:modified xsi:type="dcterms:W3CDTF">2026-10-19T10:02:33Z</dcterms:modified>
  <cp:revision>71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0x010100644423D52131C04EBABDE405D8C52D3F</vt:lpwstr>
  </property>
  <property fmtid="{D5CDD505-2E9C-101B-9397-08002B2CF9AE}" pid="4" name="Order">
    <vt:r8>30500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>&lt;div class="ExternalClassDD9AF13DDEFC4F5787283160B1F10CF4"&gt;Pruebas Técnicas&lt;/div&gt;</vt:lpwstr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xd_ProgID">
    <vt:lpwstr/>
  </property>
  <property fmtid="{D5CDD505-2E9C-101B-9397-08002B2CF9AE}" pid="11" name="xd_Signature">
    <vt:bool>0</vt:bool>
  </property>
</Properties>
</file>