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인터뷰 근거와 표현 검토</w:t>
      </w:r>
    </w:p>
    <w:p>
      <w:r>
        <w:t>현정근 교수 검토용  |  2026년 10월 24일  |  v1.0</w:t>
      </w:r>
    </w:p>
    <w:p>
      <w:r>
        <w:t>답변 원고의 주장과 근거 수준을 확인하기 위한 자료입니다. 이번 AFM 최종 게재본, 보충자료 공유본, 관련 종설과 임상 원저, 기관 발표, 교수님이 제공한 현재 연구 방향을 구분했습니다. 사람에게 적용할 시점이나 미발표 효과의 크기는 확정하지 않았습니다.</w:t>
      </w:r>
    </w:p>
    <w:p>
      <w:pPr>
        <w:pStyle w:val="Heading1"/>
      </w:pPr>
      <w:r>
        <w:t>이번 논문에서 말할 수 있는 범위</w:t>
      </w:r>
    </w:p>
    <w:p>
      <w:pPr>
        <w:pStyle w:val="Heading2"/>
      </w:pPr>
      <w:r>
        <w:t>서지와 핵심 성과</w:t>
      </w:r>
    </w:p>
    <w:p>
      <w:r>
        <w:t>R1. Advanced Functional Materials 2026 e78432, DOI 10.1002/adfm.78432. 단순 전극 프린팅을 넘어 도체·반도체·절연체·보호 구조와 수동·능동 전자부품을 통합한 제조 플랫폼. 무선 압력센서와 신경자극기 구현. 임상 맞춤 제작이 완료됐다는 의미는 아님.</w:t>
      </w:r>
    </w:p>
    <w:p>
      <w:pPr>
        <w:pStyle w:val="Heading2"/>
      </w:pPr>
      <w:r>
        <w:t>쥐의 작동과 치료효과</w:t>
      </w:r>
    </w:p>
    <w:p>
      <w:r>
        <w:t>R1 본문 2.5 및 Methods 4.15–4.20. 급성 작동 쥐 n=3. 치료효과는 군당 n=4, 좌골신경 절단·봉합 후 1시간 자극하고 8주 추적. 자극 조건은 20Hz·200μs. 체내 Mo 연결선 사용. 장치와 신경 사이 연결선이 전혀 없다고 쓰지 않음.</w:t>
      </w:r>
    </w:p>
    <w:p>
      <w:pPr>
        <w:pStyle w:val="Heading2"/>
      </w:pPr>
      <w:r>
        <w:t>회복 결과의 제한</w:t>
      </w:r>
    </w:p>
    <w:p>
      <w:r>
        <w:t>R2 S29–S32. CMAP 회복 경향은 있으나 해당 그림에 통계적 유의성 표시 없음. S30 비복근 무게 P=0.031, 근섬유 단면적 P=0.017인 일부 비교. 앞정강근 지표까지 모두 유의하다고 쓰지 않음. 8주 TUJ1 축삭 수 유의차 없음. 신경 수 증가나 완전회복·보행 정상화를 단정하지 않음.</w:t>
      </w:r>
    </w:p>
    <w:p>
      <w:pPr>
        <w:pStyle w:val="Heading2"/>
      </w:pPr>
      <w:r>
        <w:t>큰 동물 결과</w:t>
      </w:r>
    </w:p>
    <w:p>
      <w:r>
        <w:t>R1 Fig 6·Methods 4.16–4.17. 6개월령 비글 n=1. 신경을 감싸는 장치의 급성 무선 자극과 CNAP 확인. CMAP는 명확한 변화가 없어 CNAP 평가. 장기 기능회복·안전성 또는 사람 치료효과 입증과 구분.</w:t>
      </w:r>
    </w:p>
    <w:p>
      <w:pPr>
        <w:pStyle w:val="Heading2"/>
      </w:pPr>
      <w:r>
        <w:t>분해와 안전성</w:t>
      </w:r>
    </w:p>
    <w:p>
      <w:r>
        <w:t>R1 2.6·Fig 7. 시험관 45°C·lipase 가속 조건 약14주와 동물 체내 관찰은 다름. 일반 시료는 18주에도 본체 유지, 가속 시료는 상당한 분해. 결론의 18주 완전용해 표현과 상세 결과가 일치하지 않아 원고에서는 기간 확정 제외. 관찰 범위 내 이상 미확인은 인체 장기 안전성 확정이 아님.</w:t>
      </w:r>
    </w:p>
    <w:p>
      <w:pPr>
        <w:pStyle w:val="Heading1"/>
        <w:pageBreakBefore/>
      </w:pPr>
      <w:r>
        <w:t>근거를 읽는 우선순위</w:t>
      </w:r>
    </w:p>
    <w:p>
      <w:r>
        <w:t>새 장치의 구체 성과는 R1·R2 원저로 확인하고, 기술의 의미와 설계 원칙은 R3·R4·R5 종설을 배경으로 설명합니다. 현재 가능한 치료는 R6·R8과 사람 대상 R7로 확인합니다. 종설의 권위나 동물연구 결과를 이 장치의 사람 치료효과로 바꾸어 해석하지 않습니다.</w:t>
      </w:r>
    </w:p>
    <w:p>
      <w:pPr>
        <w:pStyle w:val="Heading2"/>
      </w:pPr>
      <w:r>
        <w:t>연구 수준별 연결</w:t>
      </w:r>
    </w:p>
    <w:p>
      <w:r>
        <w:t>이번 AFM 원저  무선 자극과 동물의 회복 지표를 평가한 제조·소자 연구입니다. 사람 임상시험이 아닙니다.</w:t>
      </w:r>
    </w:p>
    <w:p>
      <w:r>
        <w:t>High impact 종설  Chemical Reviews와 Nature Reviews Materials의 종설은 생분해 전자장치와 조직 인터페이스의 원리를 설명합니다. 이번 조사에서는 초록·목차·공개 서지 등 실제 접근 가능한 범위만 사용했습니다.</w:t>
      </w:r>
    </w:p>
    <w:p>
      <w:r>
        <w:t>사람의 전기자극 연구  R7은 감각신경 봉합 환자에게 직접 신경자극을 한 임상시험입니다. 이번 프린팅 장치나 모든 종류의 전기치료가 검증됐다는 뜻은 아닙니다.</w:t>
      </w:r>
    </w:p>
    <w:p>
      <w:r>
        <w:t>현재 중점 연구  교수님이 “말초신경뿐 아니라 중추신경의 재생과 가소성 효과를 확인하고 있으며 향후 임상 적용을 기대한다”고 2026년 10월 24일 제공했습니다. 미발표 연구의 구체 자료가 검토된 것은 아니므로 해당 문장은 연구자 설명으로 처리합니다.</w:t>
      </w:r>
    </w:p>
    <w:p>
      <w:r>
        <w:t>공개 척수 사업  R14는 기관 발표입니다. 척수손상 전자약 연구 방향을 뒷받침하지만 이번 AFM 실험과 별도이며 동료심사 원저에 해당하지 않습니다.</w:t>
      </w:r>
    </w:p>
    <w:p>
      <w:pPr>
        <w:pStyle w:val="Heading2"/>
      </w:pPr>
      <w:r>
        <w:t>표현을 바꿔야 하는 지점</w:t>
      </w:r>
    </w:p>
    <w:p>
      <w:r>
        <w:t>“몸속에서 스스로 치료한다” → 외부 코일의 전력을 받아 신경을 자극합니다. 자동 진단·폐쇄루프 치료가 완성됐다는 뜻은 아닙니다.</w:t>
      </w:r>
    </w:p>
    <w:p>
      <w:r>
        <w:t>“신경을 프린팅한다” → 신경의 크기와 형태를 고려해 장치를 설계하고 제작합니다.</w:t>
      </w:r>
    </w:p>
    <w:p>
      <w:r>
        <w:t>“세계 최초 무선 생분해 전자약” → 선행연구가 있습니다. 이번 차별점은 생분해 전자부품과 입체 구조의 3D 프린팅 통합입니다.</w:t>
      </w:r>
    </w:p>
    <w:p>
      <w:r>
        <w:t>“신경재생 기전을 모두 증명했다” → Note S3의 초기 변성·대식세포 청소·신경근접합부 성숙 경로는 저자 해석입니다. 직접적 단계별 인과 검증으로 소개하지 않습니다.</w:t>
      </w:r>
    </w:p>
    <w:p>
      <w:r>
        <w:t>“척수손상도 곧 치료한다” → 중추신경의 재생·가소성을 연구하며 임상 적용을 기대합니다. 별도의 안전성·유효성 검증이 필요합니다.</w:t>
      </w:r>
    </w:p>
    <w:p>
      <w:pPr>
        <w:pStyle w:val="Heading1"/>
        <w:pageBreakBefore/>
      </w:pPr>
      <w:r>
        <w:t>기존 연구와 현재 연구의 연속성</w:t>
      </w:r>
    </w:p>
    <w:p>
      <w:pPr>
        <w:pStyle w:val="Heading2"/>
      </w:pPr>
      <w:r>
        <w:t>손상 환경 개선</w:t>
      </w:r>
    </w:p>
    <w:p>
      <w:r>
        <w:t>2017 Advanced Science R10. 쥐 척수손상에서 산화스트레스와 염증에 접근. 재생이 일어날 환경을 만든다는 연구 축.</w:t>
      </w:r>
    </w:p>
    <w:p>
      <w:pPr>
        <w:pStyle w:val="Heading2"/>
      </w:pPr>
      <w:r>
        <w:t>재활과 신경가소성</w:t>
      </w:r>
    </w:p>
    <w:p>
      <w:r>
        <w:t>2021 Cells R11. 척수손상 쥐 운동훈련과 운동피질 변화. 기능회복과 연결되는 관찰이며 DNA 메틸화의 독립 인과관계를 확정한 것은 아님.</w:t>
      </w:r>
    </w:p>
    <w:p>
      <w:pPr>
        <w:pStyle w:val="Heading2"/>
      </w:pPr>
      <w:r>
        <w:t>세포와 조직의 발판</w:t>
      </w:r>
    </w:p>
    <w:p>
      <w:r>
        <w:t>2023 Advanced Healthcare Materials R12. 실크–콜라겐 하이드로젤을 이용해 신경줄기세포의 생존 환경을 설계. 전기자극과의 임상 병용효과를 입증하지 않음.</w:t>
      </w:r>
    </w:p>
    <w:p>
      <w:pPr>
        <w:pStyle w:val="Heading2"/>
      </w:pPr>
      <w:r>
        <w:t>신경도관과 무선 자극</w:t>
      </w:r>
    </w:p>
    <w:p>
      <w:r>
        <w:t>2023 Advanced Science R9. 긴 말초신경 결손을 연결하는 생분해 전도성 도관과 무선 자극기 결합. 시스템 전체가 완전 생분해였다고 표현하지 않음.</w:t>
      </w:r>
    </w:p>
    <w:p>
      <w:pPr>
        <w:pStyle w:val="Heading2"/>
      </w:pPr>
      <w:r>
        <w:t>일시적 신경 인터페이스</w:t>
      </w:r>
    </w:p>
    <w:p>
      <w:r>
        <w:t>2024 Nature Electronics R13. 생분해 자가전개 뇌피질 전극. 신경계에 필요한 기간 동안 접촉하는 장치의 설계 연속성.</w:t>
      </w:r>
    </w:p>
    <w:p>
      <w:pPr>
        <w:pStyle w:val="Heading2"/>
      </w:pPr>
      <w:r>
        <w:t>제조 플랫폼 통합</w:t>
      </w:r>
    </w:p>
    <w:p>
      <w:r>
        <w:t>2026 AFM R1. 생분해 전자소자와 구조를 함께 프린팅하고 무선 자극을 구현. 기존 신경재생 연구의 물음에 제조·형태 설계를 더함.</w:t>
      </w:r>
    </w:p>
    <w:p>
      <w:pPr>
        <w:pStyle w:val="Heading2"/>
      </w:pPr>
      <w:r>
        <w:t>현재 진행 방향</w:t>
      </w:r>
    </w:p>
    <w:p>
      <w:r>
        <w:t>교수님 제공 설명. 말초·중추신경의 재생과 가소성에 대한 전기자극 효과를 확인 중이며 향후 임상 적용 기대. 공개된 척수 전자약 사업 R14와 방향은 연결되지만 두 자료의 실험 결과를 합쳐 하나의 입증으로 제시하지 않음.</w:t>
      </w:r>
    </w:p>
    <w:p>
      <w:pPr>
        <w:pStyle w:val="Heading2"/>
      </w:pPr>
      <w:r>
        <w:t>인터뷰에서 연결해 말할 문장</w:t>
      </w:r>
    </w:p>
    <w:p>
      <w:r>
        <w:t>“저희는 신경이 회복할 수 있는 환경을 만드는 연구에서 출발해, 세포가 살아갈 발판과 재활훈련, 전기자극을 연결해 왔습니다. 이번에는 그 자극을 전달할 장치를 생분해 재료로 맞춤 제작할 수 있는 기반을 만들었습니다. 현재는 말초신경뿐 아니라 중추신경의 재생과 가소성도 연구하며, 실제 환자의 기능회복에 도움이 되는 치료로 이어가고자 합니다.”</w:t>
      </w:r>
    </w:p>
    <w:p>
      <w:r>
        <w:t>위 연결은 각 연구의 방향을 종합한 설명입니다. 통합 치료의 사람 유효성을 검증했다는 뜻은 아닙니다.</w:t>
      </w:r>
    </w:p>
    <w:p>
      <w:pPr>
        <w:pStyle w:val="Heading1"/>
        <w:pageBreakBefore/>
      </w:pPr>
      <w:r>
        <w:t>현재 치료와 임상 적용 경로</w:t>
      </w:r>
    </w:p>
    <w:p>
      <w:pPr>
        <w:pStyle w:val="Heading2"/>
      </w:pPr>
      <w:r>
        <w:t>현재 환자에게 설명할 치료</w:t>
      </w:r>
    </w:p>
    <w:p>
      <w:r>
        <w:t>신경이 눌리거나 일시적으로 전도가 떨어진 경우와 완전히 절단된 경우는 다릅니다. 진찰·전기진단·필요시 영상 등으로 손상 위치와 정도를 평가해 관찰, 감압, 봉합, 이식 또는 신경 이전 등의 적응증을 판단합니다. 모든 손상에 수술이 필요한 것은 아닙니다. [R8]</w:t>
      </w:r>
    </w:p>
    <w:p>
      <w:r>
        <w:t>재활은 관절 움직임과 근육 상태 유지, 보조기와 동작 적응, 감각 재교육, 운동 재학습, 통증 관리 등을 환자 상태에 맞춰 진행합니다. 근육을 움직이는 전기자극과 신경재생을 위한 직접 신경자극은 구분해야 합니다. [R6·R8]</w:t>
      </w:r>
    </w:p>
    <w:p>
      <w:r>
        <w:t>일부 직접 신경자극 임상시험의 긍정 결과가 있으나 손상 형태와 자극 방법마다 근거가 다릅니다. AFM 장치를 일상 진료에서 사용할 수 있다고 안내하거나 새 기술을 기다리도록 권하지 않습니다. [R1·R6·R7]</w:t>
      </w:r>
    </w:p>
    <w:p>
      <w:pPr>
        <w:pStyle w:val="Heading2"/>
      </w:pPr>
      <w:r>
        <w:t>개발 단계별로 필요한 확인</w:t>
      </w:r>
    </w:p>
    <w:p>
      <w:r>
        <w:t>설계와 비임상  신경 압박·마찰, 조직 움직임, 전극 접촉, 무선 전력의 깊이·정렬 변화, 자극량과 발열, 전기화학적 반응을 평가합니다. 단상 펄스의 장기 안전성도 후속 검토 항목입니다. 필요 작동기간과 흡수기간을 나눠 설정합니다.</w:t>
      </w:r>
    </w:p>
    <w:p>
      <w:r>
        <w:t>분해 안전성과 제조  분해산물의 양·노출·국소와 전신 영향, 잔류 용매, 프린팅 재현성, 멸균·포장·보관 안정성 등을 위험도에 맞게 평가합니다. 각 항목의 구체 시험계획은 규제기관과 협의해야 합니다.</w:t>
      </w:r>
    </w:p>
    <w:p>
      <w:r>
        <w:t>사람 대상 검증  적절한 초기 대상 환자와 비교군을 정하고 안전성뿐 아니라 감각, 근력, 기능과 일상생활의 개선을 평가합니다. 임상시험 계획과 품목허가는 각각 준비가 필요하며 연구 참여가 통상 치료를 의미하지 않습니다.</w:t>
      </w:r>
    </w:p>
    <w:p>
      <w:r>
        <w:t>치료 접근성  허가와 신의료기술평가·건강보험 적용 여부 등은 구분해 검토합니다. 특정 절차가 반드시 적용되거나 생략된다고 현 단계에서 단정하지 않습니다. 평가기관과 품목 분류에 따른 상담이 필요합니다.</w:t>
      </w:r>
    </w:p>
    <w:p>
      <w:pPr>
        <w:pStyle w:val="Heading2"/>
      </w:pPr>
      <w:r>
        <w:t>국가 지원과 제도 보완의 제안</w:t>
      </w:r>
    </w:p>
    <w:p>
      <w:r>
        <w:t>논문 성과부터 제조·비임상·임상까지 연결되는 지속 지원, 분해형 전자기기의 평가법과 표준 개발, 초기 규제 상담과 전문인력, 다기관 임상 및 환자 중심 기능평가를 제안할 수 있습니다. R15의 국가사업은 지원 틀의 예이며 본 연구팀 수혜 확정 근거는 아닙니다. R14의 1단계 60억원과 평가 후 2단계 40억원은 조건부 구조이므로 “100억원 확보 완료”라고 쓰지 않습니다.</w:t>
      </w:r>
    </w:p>
    <w:p>
      <w:pPr>
        <w:pStyle w:val="Heading1"/>
        <w:pageBreakBefore/>
      </w:pPr>
      <w:r>
        <w:t>참고문헌과 확인 범위 하나</w:t>
      </w:r>
    </w:p>
    <w:p>
      <w:pPr>
        <w:pStyle w:val="Heading2"/>
      </w:pPr>
      <w:r>
        <w:t>R1 이번 연구 원저</w:t>
      </w:r>
    </w:p>
    <w:p>
      <w:r>
        <w:t>Lee JY et al. Materials and Design Strategies of Fully 3D Printed Biodegradable Wireless Devices for Biomedical Applications. Advanced Functional Materials. 2026; e78432. DOI 10.1002/adfm.78432.</w:t>
      </w:r>
    </w:p>
    <w:p>
      <w:r>
        <w:rPr>
          <w:sz w:val="18"/>
        </w:rPr>
        <w:t>https://doi.org/10.1002/adfm.78432</w:t>
      </w:r>
    </w:p>
    <w:p>
      <w:r>
        <w:t>최종 게재 PDF 전문을 사용자 Drive에서 확인. 본문 2.5·2.6, Fig 6·7, Methods 4.15–4.22. 2025 arXiv 초고와 구분.</w:t>
      </w:r>
    </w:p>
    <w:p>
      <w:pPr>
        <w:pStyle w:val="Heading2"/>
      </w:pPr>
      <w:r>
        <w:t>R2 보충자료</w:t>
      </w:r>
    </w:p>
    <w:p>
      <w:r>
        <w:t>adfm78432-sup-0001-SuppMat.docx. Figures S29–S32, S36–S38, Note S3.</w:t>
      </w:r>
    </w:p>
    <w:p>
      <w:r>
        <w:rPr>
          <w:sz w:val="18"/>
        </w:rPr>
        <w:t>https://doi.org/10.1002/adfm.78432</w:t>
      </w:r>
    </w:p>
    <w:p>
      <w:r>
        <w:t>사용자 Drive 공유본의 텍스트와 실험 그림 확인. 출판사 현행 파일과 바이트 동일성은 미확인. 정량 결과는 이 한계를 함께 기록.</w:t>
      </w:r>
    </w:p>
    <w:p>
      <w:pPr>
        <w:pStyle w:val="Heading2"/>
      </w:pPr>
      <w:r>
        <w:t>R3 핵심 종설</w:t>
      </w:r>
    </w:p>
    <w:p>
      <w:r>
        <w:t>Zhang Y et al. Advances in Bioresorbable Materials and Electronics. Chemical Reviews. 2023;123:11722–11773. DOI 10.1021/acs.chemrev.3c00408.</w:t>
      </w:r>
    </w:p>
    <w:p>
      <w:r>
        <w:rPr>
          <w:sz w:val="18"/>
        </w:rPr>
        <w:t>https://doi.org/10.1021/acs.chemrev.3c00408</w:t>
      </w:r>
    </w:p>
    <w:p>
      <w:r>
        <w:t>Review. 생체흡수 전자소재·소자·전원·제조·의료응용의 배경. 검색 가능한 초록·목차 확인. 50MB 공개 PDF 전문은 이번 조사에서 열람하지 못함. 이번 장치의 인체 안전성 증거는 아님.</w:t>
      </w:r>
    </w:p>
    <w:p>
      <w:pPr>
        <w:pStyle w:val="Heading2"/>
      </w:pPr>
      <w:r>
        <w:t>R4 조직과 전자장치 종설</w:t>
      </w:r>
    </w:p>
    <w:p>
      <w:r>
        <w:t>Feiner R, Dvir T. Tissue–electronics interfaces: from implantable devices to engineered tissues. Nature Reviews Materials. 2018;3:17076. 온라인 2017. DOI 10.1038/natrevmats.2017.76.</w:t>
      </w:r>
    </w:p>
    <w:p>
      <w:r>
        <w:rPr>
          <w:sz w:val="18"/>
        </w:rPr>
        <w:t>https://doi.org/10.1038/natrevmats.2017.76</w:t>
      </w:r>
    </w:p>
    <w:p>
      <w:r>
        <w:t>Review Article. 조직 역학에 맞춘 유연성, 최소침습 삽입, 제거 부담, 세포·생체재료 결합의 설계 배경. 출판사 초록 범위 확인.</w:t>
      </w:r>
    </w:p>
    <w:p>
      <w:pPr>
        <w:pStyle w:val="Heading2"/>
      </w:pPr>
      <w:r>
        <w:t>R5 최신 신경 인터페이스 종설</w:t>
      </w:r>
    </w:p>
    <w:p>
      <w:r>
        <w:t>Pan et al. Dynamic biophysical coupling in bioelectronic interfaces for peripheral nerve modulation. Nature Reviews Electrical Engineering. 2026;3:450–464. DOI 10.1038/s44287-026-00301-x.</w:t>
      </w:r>
    </w:p>
    <w:p>
      <w:r>
        <w:rPr>
          <w:sz w:val="18"/>
        </w:rPr>
        <w:t>https://doi.org/10.1038/s44287-026-00301-x</w:t>
      </w:r>
    </w:p>
    <w:p>
      <w:r>
        <w:t>Review Article. 기계적·전기화학적·생물학적 인터페이스의 변화와 통합 설계. 담당 조사에서 서지·요지 확인; 전문 접근 제한. 개별 장치 효능의 근거로 사용하지 않음.</w:t>
      </w:r>
    </w:p>
    <w:p>
      <w:pPr>
        <w:pStyle w:val="Heading1"/>
        <w:pageBreakBefore/>
      </w:pPr>
      <w:r>
        <w:t>참고문헌과 확인 범위 둘</w:t>
      </w:r>
    </w:p>
    <w:p>
      <w:pPr>
        <w:pStyle w:val="Heading2"/>
      </w:pPr>
      <w:r>
        <w:t>R6 임상 재활 종설</w:t>
      </w:r>
    </w:p>
    <w:p>
      <w:r>
        <w:t>Smith SM et al. Electrical Modalities in the Rehabilitation of Peripheral Nerve Injuries: State of the Literature and Current Clinical Applications. Muscle &amp; Nerve. 온라인 2026-07-02. DOI 10.1002/mus.70306.</w:t>
      </w:r>
    </w:p>
    <w:p>
      <w:r>
        <w:rPr>
          <w:sz w:val="18"/>
        </w:rPr>
        <w:t>https://pubmed.ncbi.nlm.nih.gov/42394298/</w:t>
      </w:r>
    </w:p>
    <w:p>
      <w:r>
        <w:t>Review. 초록 확인. 피부 통증자극·근육자극·신경 직접자극을 구분. 일상적인 근육 전기자극의 강건한 임상 근거는 부족. Q1·Q2·Q6.</w:t>
      </w:r>
    </w:p>
    <w:p>
      <w:pPr>
        <w:pStyle w:val="Heading2"/>
      </w:pPr>
      <w:r>
        <w:t>R7 사람 대상 원저</w:t>
      </w:r>
    </w:p>
    <w:p>
      <w:r>
        <w:t>Wong JN et al. Electrical stimulation enhances sensory recovery: a randomized controlled trial. Annals of Neurology. 2015;77:996–1006. DOI 10.1002/ana.24397.</w:t>
      </w:r>
    </w:p>
    <w:p>
      <w:r>
        <w:rPr>
          <w:sz w:val="18"/>
        </w:rPr>
        <w:t>https://doi.org/10.1002/ana.24397</w:t>
      </w:r>
    </w:p>
    <w:p>
      <w:r>
        <w:t>손가락 감각신경 봉합 환자 36명, 각 18명. 20Hz 1시간 직접 신경자극. 감각회복 개선, 기능장애 점수 유의 개선은 미확인. AFM 장치 임상시험이 아님. Q2.</w:t>
      </w:r>
    </w:p>
    <w:p>
      <w:pPr>
        <w:pStyle w:val="Heading2"/>
      </w:pPr>
      <w:r>
        <w:t>R8 현재 치료 지침 기반 자료</w:t>
      </w:r>
    </w:p>
    <w:p>
      <w:r>
        <w:t>Harhaus et al. The Treatment of Peripheral Nerve Injuries. Deutsches Ärzteblatt International. 2024.</w:t>
      </w:r>
    </w:p>
    <w:p>
      <w:r>
        <w:rPr>
          <w:sz w:val="18"/>
        </w:rPr>
        <w:t>https://pmc.ncbi.nlm.nih.gov/articles/PMC11542565/</w:t>
      </w:r>
    </w:p>
    <w:p>
      <w:r>
        <w:t>독일 다학제 지침 개정 내용. 손상형태·신경 연속성에 맞춘 관찰 또는 적절한 수술·재건. 모든 손상을 즉시 수술한다는 뜻이 아님. Q1·Q5·Q6.</w:t>
      </w:r>
    </w:p>
    <w:p>
      <w:pPr>
        <w:pStyle w:val="Heading2"/>
      </w:pPr>
      <w:r>
        <w:t>R9 본인 선행 원저</w:t>
      </w:r>
    </w:p>
    <w:p>
      <w:r>
        <w:t>Kim et al. Electroceuticals for Regeneration of Long Nerve Gap Using Biodegradable Conductive Conduits and Implantable Wireless Stimulator. Advanced Science. 2023;2302632. DOI 10.1002/advs.202302632.</w:t>
      </w:r>
    </w:p>
    <w:p>
      <w:r>
        <w:rPr>
          <w:sz w:val="18"/>
        </w:rPr>
        <w:t>https://pmc.ncbi.nlm.nih.gov/articles/PMC10460856/</w:t>
      </w:r>
    </w:p>
    <w:p>
      <w:r>
        <w:t>쥐 좌골신경 10mm 결손, 전도성 생분해 도관과 무선 자극 결합. 도관의 생분해와 시스템 전체의 생분해를 혼동하지 않음. Fig 1에 스테인리스강 전극. Q1·Q2·Q6.</w:t>
      </w:r>
    </w:p>
    <w:p>
      <w:pPr>
        <w:pStyle w:val="Heading2"/>
      </w:pPr>
      <w:r>
        <w:t>R10 본인 선행 원저</w:t>
      </w:r>
    </w:p>
    <w:p>
      <w:r>
        <w:t>Kim et al. Functional Recovery of Contused Spinal Cord in Rat with the Injection of Optimal-Dosed Cerium Oxide Nanoparticles. Advanced Science. 2017. DOI 10.1002/advs.201700034.</w:t>
      </w:r>
    </w:p>
    <w:p>
      <w:r>
        <w:rPr>
          <w:sz w:val="18"/>
        </w:rPr>
        <w:t>https://pubmed.ncbi.nlm.nih.gov/29051850/</w:t>
      </w:r>
    </w:p>
    <w:p>
      <w:r>
        <w:t>쥐 척수손상에서 산화스트레스·염증 환경과 기능회복 연구. 사람 치료 입증은 아님. Q1·Q6.</w:t>
      </w:r>
    </w:p>
    <w:p>
      <w:pPr>
        <w:pStyle w:val="Heading1"/>
        <w:pageBreakBefore/>
      </w:pPr>
      <w:r>
        <w:t>참고문헌과 확인 범위 셋</w:t>
      </w:r>
    </w:p>
    <w:p>
      <w:pPr>
        <w:pStyle w:val="Heading2"/>
      </w:pPr>
      <w:r>
        <w:t>R11 본인 선행 원저</w:t>
      </w:r>
    </w:p>
    <w:p>
      <w:r>
        <w:t>Davaa et al. Exercise Ameliorates Spinal Cord Injury by Changing DNA Methylation. Cells. 2021;10:143. DOI 10.3390/cells10010143.</w:t>
      </w:r>
    </w:p>
    <w:p>
      <w:r>
        <w:rPr>
          <w:sz w:val="18"/>
        </w:rPr>
        <w:t>https://pmc.ncbi.nlm.nih.gov/articles/PMC7828206/</w:t>
      </w:r>
    </w:p>
    <w:p>
      <w:r>
        <w:t>척수손상 쥐의 운동재활과 운동피질 후성유전 변화. 재활·가소성 연결의 배경. 독립 인과관계나 전자약 병용 임상효과를 뜻하지 않음. Q1·Q6.</w:t>
      </w:r>
    </w:p>
    <w:p>
      <w:pPr>
        <w:pStyle w:val="Heading2"/>
      </w:pPr>
      <w:r>
        <w:t>R12 본인 선행 원저</w:t>
      </w:r>
    </w:p>
    <w:p>
      <w:r>
        <w:t>Davaa et al. Delivery of Induced Neural Stem Cells Through Mechano-Tuned Silk-Collagen Hydrogels for the Recovery of Contused Spinal Cord in Rats. Advanced Healthcare Materials. 2023;2201720. 온라인 2022. DOI 10.1002/adhm.202201720.</w:t>
      </w:r>
    </w:p>
    <w:p>
      <w:r>
        <w:rPr>
          <w:sz w:val="18"/>
        </w:rPr>
        <w:t>https://pubmed.ncbi.nlm.nih.gov/36447307/</w:t>
      </w:r>
    </w:p>
    <w:p>
      <w:r>
        <w:t>쥐 척수손상에서 세포 생존·재생 환경을 위한 조직공학. 전기자극과의 임상 병용 근거는 아님. Q1·Q6.</w:t>
      </w:r>
    </w:p>
    <w:p>
      <w:pPr>
        <w:pStyle w:val="Heading2"/>
      </w:pPr>
      <w:r>
        <w:t>R13 본인 선행 원저</w:t>
      </w:r>
    </w:p>
    <w:p>
      <w:r>
        <w:t>Bae et al. A biodegradable and self-deployable electronic tent electrode for brain cortex interfacing. Nature Electronics. 2024. DOI 10.1038/s41928-024-01216-x.</w:t>
      </w:r>
    </w:p>
    <w:p>
      <w:r>
        <w:rPr>
          <w:sz w:val="18"/>
        </w:rPr>
        <w:t>https://doi.org/10.1038/s41928-024-01216-x</w:t>
      </w:r>
    </w:p>
    <w:p>
      <w:r>
        <w:t>생분해·자가전개 뇌피질 전극 인터페이스. 뇌질환 치료나 사람 임상효과 입증과 구분. Q5·Q6.</w:t>
      </w:r>
    </w:p>
    <w:p>
      <w:pPr>
        <w:pStyle w:val="Heading2"/>
      </w:pPr>
      <w:r>
        <w:t>R14 현재 연구 공식 발표</w:t>
      </w:r>
    </w:p>
    <w:p>
      <w:r>
        <w:t>아주대학교병원. 2026 Purdue–Korea Joint R&amp;D Seminar 관련 발표. 2026-08-03.</w:t>
      </w:r>
    </w:p>
    <w:p>
      <w:r>
        <w:rPr>
          <w:sz w:val="18"/>
        </w:rPr>
        <w:t>https://hosp.ajoumc.or.kr/board/commBoardNewsView.do?no=72245</w:t>
      </w:r>
    </w:p>
    <w:p>
      <w:r>
        <w:t>척수손상 생분해 전자약 사업. 미니피그에서 보행회복 가능성, 장기 안전성·시제품·폐쇄루프는 개발 목표. 논문 원저와 별도의 기관 발표. Q5·Q6.</w:t>
      </w:r>
    </w:p>
    <w:p>
      <w:pPr>
        <w:pStyle w:val="Heading2"/>
      </w:pPr>
      <w:r>
        <w:t>R15 지원 정책 공식 자료</w:t>
      </w:r>
    </w:p>
    <w:p>
      <w:r>
        <w:t>범부처의료기기연구개발사업단. 범부처 첨단 의료기기 연구개발사업 2026–2032 사업개요.</w:t>
      </w:r>
    </w:p>
    <w:p>
      <w:r>
        <w:rPr>
          <w:sz w:val="18"/>
        </w:rPr>
        <w:t>https://www.kmdf.org/summary_2026</w:t>
      </w:r>
    </w:p>
    <w:p>
      <w:r>
        <w:t>제조·임상·평가기술·국제표준을 잇는 지원 틀. 본 연구팀 선정이나 지원 확정을 뜻하지 않음. Q6.</w:t>
      </w:r>
    </w:p>
    <w:p>
      <w:pPr>
        <w:pStyle w:val="Heading1"/>
        <w:pageBreakBefore/>
      </w:pPr>
      <w:r>
        <w:t>참고문헌과 확인 범위 넷</w:t>
      </w:r>
    </w:p>
    <w:p>
      <w:pPr>
        <w:pStyle w:val="Heading2"/>
      </w:pPr>
      <w:r>
        <w:t>R16 안전성 공식 참고</w:t>
      </w:r>
    </w:p>
    <w:p>
      <w:r>
        <w:t>FDA. PMA Special Considerations. Biocompatibility.</w:t>
      </w:r>
    </w:p>
    <w:p>
      <w:r>
        <w:rPr>
          <w:sz w:val="18"/>
        </w:rPr>
        <w:t>https://www.fda.gov/medical-devices/premarket-approval-pma/pma-special-considerations</w:t>
      </w:r>
    </w:p>
    <w:p>
      <w:r>
        <w:t>접촉기간·성분 방출·국소/전신 위해도에 따른 평가 원칙. 미국 참고이며 한국의 직접 적용 법규나 필수 시험 전체 목록이 아님. Q3·Q6.</w:t>
      </w:r>
    </w:p>
    <w:p>
      <w:pPr>
        <w:pStyle w:val="Heading2"/>
      </w:pPr>
      <w:r>
        <w:t>R17 분야 선행 원저</w:t>
      </w:r>
    </w:p>
    <w:p>
      <w:r>
        <w:t>Koo et al. Wireless bioresorbable electronic system enables sustained nonpharmacological neuroregenerative therapy. Nature Medicine. 2018;24:1830–1836. DOI 10.1038/s41591-018-0196-2.</w:t>
      </w:r>
    </w:p>
    <w:p>
      <w:r>
        <w:rPr>
          <w:sz w:val="18"/>
        </w:rPr>
        <w:t>https://doi.org/10.1038/s41591-018-0196-2</w:t>
      </w:r>
    </w:p>
    <w:p>
      <w:r>
        <w:t>무선 생체흡수 신경자극 선행연구. 이번 연구를 무선·생분해 전자약 전체의 세계 최초라고 표현하지 않는 비교 배경. R1 참고문헌 60과 대조.</w:t>
      </w:r>
    </w:p>
    <w:p>
      <w:pPr>
        <w:pStyle w:val="Heading2"/>
      </w:pPr>
      <w:r>
        <w:t>월요일 전 교수님 확인 항목</w:t>
      </w:r>
    </w:p>
    <w:p>
      <w:r>
        <w:t>현재 중추신경 연구 설명을 인터뷰에서 인용할 수 있는 최종 문장으로 확인합니다. 미발표 효과 크기나 수치는 넣지 않았습니다.</w:t>
      </w:r>
    </w:p>
    <w:p>
      <w:r>
        <w:t>이번 논문 2.6과 결론의 분해기간 표현 차이, 진폭 표기 차이는 공저자와 확인하는 것이 좋습니다. 답변 원고는 해당 수치 단정을 제외했습니다.</w:t>
      </w:r>
    </w:p>
    <w:p>
      <w:r>
        <w:t>진료 환자군의 특징, 개인적 연구 동기와 비전은 실제 경험에 맞게 최종 수정합니다. 임상시험 일정이나 허가 상태를 새로 공개하려면 확인 자료가 필요합니다.</w:t>
      </w:r>
    </w:p>
    <w:p>
      <w:r>
        <w:t>비온뒤 12월 9일 방송은 이번 코메디닷컴 답변을 확정한 뒤 방송일 가까이 문헌·임상진행 상태를 다시 확인하고 화면자료로 확장합니다.</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현정근 교수 인터뷰 준비  |  2026년 10월 24일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30" w:lineRule="exact"/>
      <w:widowControl w:val="0"/>
      <w:snapToGrid w:val="0"/>
    </w:pPr>
    <w:rPr>
      <w:rFonts w:ascii="맑은 고딕" w:hAnsi="맑은 고딕" w:eastAsia="맑은 고딕"/>
      <w:color w:val="000000"/>
      <w:sz w:val="22"/>
    </w:rPr>
  </w:style>
  <w:style w:type="paragraph" w:styleId="Header">
    <w:name w:val="header"/>
    <w:basedOn w:val="Normal"/>
    <w:link w:val="HeaderChar"/>
    <w:uiPriority w:val="99"/>
    <w:unhideWhenUsed/>
    <w:rsid w:val="00E618BF"/>
    <w:pPr>
      <w:widowControl w:val="0"/>
      <w:tabs>
        <w:tab w:val="center" w:pos="4680"/>
        <w:tab w:val="right" w:pos="9360"/>
      </w:tabs>
      <w:spacing w:after="0" w:line="240" w:lineRule="auto"/>
      <w:snapToGrid w:val="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val="0"/>
      <w:tabs>
        <w:tab w:val="center" w:pos="4680"/>
        <w:tab w:val="right" w:pos="9360"/>
      </w:tabs>
      <w:spacing w:after="0" w:line="240" w:lineRule="auto"/>
      <w:snapToGrid w:val="0"/>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60" w:lineRule="exact"/>
      <w:outlineLvl w:val="0"/>
      <w:widowControl w:val="0"/>
      <w:snapToGrid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40" w:line="340" w:lineRule="exact"/>
      <w:outlineLvl w:val="1"/>
      <w:widowControl w:val="0"/>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widowControl w:val="0"/>
      <w:snapToGrid w:val="0"/>
    </w:pPr>
    <w:rPr>
      <w:rFonts w:asciiTheme="majorHAnsi" w:eastAsiaTheme="majorEastAsia" w:hAnsiTheme="majorHAnsi" w:cstheme="majorBidi" w:ascii="맑은 고딕" w:hAnsi="맑은 고딕" w:eastAsia="맑은 고딕"/>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widowControl w:val="0"/>
      <w:snapToGrid w:val="0"/>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widowControl w:val="0"/>
      <w:snapToGrid w:val="0"/>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widowControl w:val="0"/>
      <w:snapToGrid w:val="0"/>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widowControl w:val="0"/>
      <w:snapToGrid w:val="0"/>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widowControl w:val="0"/>
      <w:snapToGrid w:val="0"/>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widowControl w:val="0"/>
      <w:snapToGrid w:val="0"/>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widowControl w:val="0"/>
      <w:snapToGrid w:val="0"/>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600" w:lineRule="exact"/>
      <w:contextualSpacing/>
      <w:widowControl w:val="0"/>
      <w:snapToGrid w:val="0"/>
    </w:pPr>
    <w:rPr>
      <w:rFonts w:asciiTheme="majorHAnsi" w:eastAsiaTheme="majorEastAsia" w:hAnsiTheme="majorHAnsi" w:cstheme="majorBidi" w:ascii="맑은 고딕" w:hAnsi="맑은 고딕" w:eastAsia="맑은 고딕"/>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val="0"/>
      <w:numPr>
        <w:ilvl w:val="1"/>
      </w:numPr>
      <w:spacing w:after="140" w:line="340" w:lineRule="exact"/>
      <w:snapToGrid w:val="0"/>
    </w:pPr>
    <w:rPr>
      <w:rFonts w:asciiTheme="majorHAnsi" w:eastAsiaTheme="majorEastAsia" w:hAnsiTheme="majorHAnsi" w:cstheme="majorBidi" w:ascii="맑은 고딕" w:hAnsi="맑은 고딕" w:eastAsia="맑은 고딕"/>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widowControl w:val="0"/>
      <w:snapToGrid w:val="0"/>
    </w:pPr>
  </w:style>
  <w:style w:type="paragraph" w:styleId="BodyText">
    <w:name w:val="Body Text"/>
    <w:basedOn w:val="Normal"/>
    <w:link w:val="BodyTextChar"/>
    <w:uiPriority w:val="99"/>
    <w:unhideWhenUsed/>
    <w:rsid w:val="00AA1D8D"/>
    <w:pPr>
      <w:spacing w:after="120"/>
      <w:widowControl w:val="0"/>
      <w:snapToGrid w:val="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widowControl w:val="0"/>
      <w:snapToGrid w:val="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widowControl w:val="0"/>
      <w:snapToGrid w:val="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widowControl w:val="0"/>
      <w:snapToGrid w:val="0"/>
    </w:pPr>
  </w:style>
  <w:style w:type="paragraph" w:styleId="List2">
    <w:name w:val="List 2"/>
    <w:basedOn w:val="Normal"/>
    <w:uiPriority w:val="99"/>
    <w:unhideWhenUsed/>
    <w:rsid w:val="00326F90"/>
    <w:pPr>
      <w:ind w:left="720" w:hanging="360"/>
      <w:contextualSpacing/>
      <w:widowControl w:val="0"/>
      <w:snapToGrid w:val="0"/>
    </w:pPr>
  </w:style>
  <w:style w:type="paragraph" w:styleId="List3">
    <w:name w:val="List 3"/>
    <w:basedOn w:val="Normal"/>
    <w:uiPriority w:val="99"/>
    <w:unhideWhenUsed/>
    <w:rsid w:val="00326F90"/>
    <w:pPr>
      <w:ind w:left="1080" w:hanging="360"/>
      <w:contextualSpacing/>
      <w:widowControl w:val="0"/>
      <w:snapToGrid w:val="0"/>
    </w:pPr>
  </w:style>
  <w:style w:type="paragraph" w:styleId="ListBullet">
    <w:name w:val="List Bullet"/>
    <w:basedOn w:val="Normal"/>
    <w:uiPriority w:val="99"/>
    <w:unhideWhenUsed/>
    <w:rsid w:val="00326F90"/>
    <w:pPr>
      <w:widowControl w:val="0"/>
      <w:numPr>
        <w:numId w:val="1"/>
      </w:numPr>
      <w:contextualSpacing/>
      <w:snapToGrid w:val="0"/>
    </w:pPr>
  </w:style>
  <w:style w:type="paragraph" w:styleId="ListBullet2">
    <w:name w:val="List Bullet 2"/>
    <w:basedOn w:val="Normal"/>
    <w:uiPriority w:val="99"/>
    <w:unhideWhenUsed/>
    <w:rsid w:val="00326F90"/>
    <w:pPr>
      <w:widowControl w:val="0"/>
      <w:numPr>
        <w:numId w:val="2"/>
      </w:numPr>
      <w:contextualSpacing/>
      <w:snapToGrid w:val="0"/>
    </w:pPr>
  </w:style>
  <w:style w:type="paragraph" w:styleId="ListBullet3">
    <w:name w:val="List Bullet 3"/>
    <w:basedOn w:val="Normal"/>
    <w:uiPriority w:val="99"/>
    <w:unhideWhenUsed/>
    <w:rsid w:val="00326F90"/>
    <w:pPr>
      <w:widowControl w:val="0"/>
      <w:numPr>
        <w:numId w:val="3"/>
      </w:numPr>
      <w:contextualSpacing/>
      <w:snapToGrid w:val="0"/>
    </w:pPr>
  </w:style>
  <w:style w:type="paragraph" w:styleId="ListNumber">
    <w:name w:val="List Number"/>
    <w:basedOn w:val="Normal"/>
    <w:uiPriority w:val="99"/>
    <w:unhideWhenUsed/>
    <w:rsid w:val="00326F90"/>
    <w:pPr>
      <w:widowControl w:val="0"/>
      <w:numPr>
        <w:numId w:val="5"/>
      </w:numPr>
      <w:contextualSpacing/>
      <w:snapToGrid w:val="0"/>
    </w:pPr>
  </w:style>
  <w:style w:type="paragraph" w:styleId="ListNumber2">
    <w:name w:val="List Number 2"/>
    <w:basedOn w:val="Normal"/>
    <w:uiPriority w:val="99"/>
    <w:unhideWhenUsed/>
    <w:rsid w:val="0029639D"/>
    <w:pPr>
      <w:widowControl w:val="0"/>
      <w:numPr>
        <w:numId w:val="6"/>
      </w:numPr>
      <w:contextualSpacing/>
      <w:snapToGrid w:val="0"/>
    </w:pPr>
  </w:style>
  <w:style w:type="paragraph" w:styleId="ListNumber3">
    <w:name w:val="List Number 3"/>
    <w:basedOn w:val="Normal"/>
    <w:uiPriority w:val="99"/>
    <w:unhideWhenUsed/>
    <w:rsid w:val="0029639D"/>
    <w:pPr>
      <w:widowControl w:val="0"/>
      <w:numPr>
        <w:numId w:val="7"/>
      </w:numPr>
      <w:contextualSpacing/>
      <w:snapToGrid w:val="0"/>
    </w:pPr>
  </w:style>
  <w:style w:type="paragraph" w:styleId="ListContinue">
    <w:name w:val="List Continue"/>
    <w:basedOn w:val="Normal"/>
    <w:uiPriority w:val="99"/>
    <w:unhideWhenUsed/>
    <w:rsid w:val="0029639D"/>
    <w:pPr>
      <w:spacing w:after="120"/>
      <w:ind w:left="360"/>
      <w:contextualSpacing/>
      <w:widowControl w:val="0"/>
      <w:snapToGrid w:val="0"/>
    </w:pPr>
  </w:style>
  <w:style w:type="paragraph" w:styleId="ListContinue2">
    <w:name w:val="List Continue 2"/>
    <w:basedOn w:val="Normal"/>
    <w:uiPriority w:val="99"/>
    <w:unhideWhenUsed/>
    <w:rsid w:val="0029639D"/>
    <w:pPr>
      <w:spacing w:after="120"/>
      <w:ind w:left="720"/>
      <w:contextualSpacing/>
      <w:widowControl w:val="0"/>
      <w:snapToGrid w:val="0"/>
    </w:pPr>
  </w:style>
  <w:style w:type="paragraph" w:styleId="ListContinue3">
    <w:name w:val="List Continue 3"/>
    <w:basedOn w:val="Normal"/>
    <w:uiPriority w:val="99"/>
    <w:unhideWhenUsed/>
    <w:rsid w:val="0029639D"/>
    <w:pPr>
      <w:spacing w:after="120"/>
      <w:ind w:left="1080"/>
      <w:contextualSpacing/>
      <w:widowControl w:val="0"/>
      <w:snapToGrid w:val="0"/>
    </w:pPr>
  </w:style>
  <w:style w:type="paragraph" w:styleId="MacroText">
    <w:name w:val="macro"/>
    <w:link w:val="MacroTextChar"/>
    <w:uiPriority w:val="99"/>
    <w:unhideWhenUsed/>
    <w:rsid w:val="0029639D"/>
    <w:pPr>
      <w:widowControl w:val="0"/>
      <w:tabs>
        <w:tab w:val="left" w:pos="576"/>
        <w:tab w:val="left" w:pos="1152"/>
        <w:tab w:val="left" w:pos="1728"/>
        <w:tab w:val="left" w:pos="2304"/>
        <w:tab w:val="left" w:pos="2880"/>
        <w:tab w:val="left" w:pos="3456"/>
        <w:tab w:val="left" w:pos="4032"/>
      </w:tabs>
      <w:snapToGrid w:val="0"/>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val="0"/>
      <w:snapToGrid w:val="0"/>
    </w:pPr>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widowControl w:val="0"/>
      <w:snapToGrid w:val="0"/>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widowControl w:val="0"/>
      <w:snapToGrid w:val="0"/>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widowControl w:val="0"/>
      <w:snapToGrid w:val="0"/>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코메디닷컴 인터뷰 준비</dc:title>
  <dc:subject/>
  <dc:creator>현정근</dc:creator>
  <cp:keywords/>
  <dc:description>generated by python-docx</dc:description>
  <cp:lastModifiedBy/>
  <cp:revision>1</cp:revision>
  <dcterms:created xsi:type="dcterms:W3CDTF">2013-12-23T23:15:00Z</dcterms:created>
  <dcterms:modified xsi:type="dcterms:W3CDTF">2013-12-23T23:15:00Z</dcterms:modified>
  <cp:category/>
</cp:coreProperties>
</file>