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Priority Based IoT Alert Processing</w:t>
      </w:r>
    </w:p>
    <w:p>
      <w:pPr>
        <w:pStyle w:val="Subtitle"/>
      </w:pPr>
      <w:r>
        <w:t>Research proposal</w:t>
      </w:r>
    </w:p>
    <w:p>
      <w:r>
        <w:t>Working paper title: Evaluating Deadline and Waiting Time Tradeoffs in MQTT Based IoT Alert Processing</w:t>
      </w:r>
    </w:p>
    <w:p>
      <w:pPr>
        <w:pStyle w:val="Heading1"/>
      </w:pPr>
      <w:r>
        <w:t>Purpose and expected value</w:t>
      </w:r>
    </w:p>
    <w:p>
      <w:r>
        <w:t>We will build and evaluate an IoT alert processing system that gives urgent alerts timely service while reducing excessive waiting for routine events. The project will produce a reproducible implementation, a controlled comparison of scheduling policies, and evidence suitable for a conference manuscript.</w:t>
      </w:r>
    </w:p>
    <w:p>
      <w:r>
        <w:t>Consider a monitoring gateway receiving device tampering alerts, repeated authentication failure alerts, and routine device status messages. During a burst, the processing queue can grow. The application must decide which waiting message to process next. Alert severity is supplied by a trusted test configuration; detecting attacks is outside this study.</w:t>
      </w:r>
    </w:p>
    <w:p>
      <w:pPr>
        <w:pStyle w:val="Heading1"/>
      </w:pPr>
      <w:r>
        <w:t>Problem statement</w:t>
      </w:r>
    </w:p>
    <w:p>
      <w:r>
        <w:t>FIFO handles events in arrival order, so urgent alerts may wait behind routine work. Strict priority favors urgent alerts but can postpone lower priority work. We will investigate when a simple congestion-aware policy offers a useful balance. Any claimed improvement must include the cost paid by other event classes.</w:t>
      </w:r>
    </w:p>
    <w:p>
      <w:pPr>
        <w:pStyle w:val="Heading1"/>
      </w:pPr>
      <w:r>
        <w:t>Research questions</w:t>
      </w:r>
    </w:p>
    <w:p>
      <w:r>
        <w:t>RQ1 How do FIFO, strict priority, aging and earliest deadline first differ in urgent deadline misses and routine waiting under changing load?</w:t>
      </w:r>
    </w:p>
    <w:p>
      <w:r>
        <w:t>RQ2 Can a congestion-aware aging policy improve this tradeoff on workloads and random seeds not used for tuning?</w:t>
      </w:r>
    </w:p>
    <w:p>
      <w:r>
        <w:t>RQ3 Do the main trends remain visible in a controlled MQTT testbed, and what CPU and scheduling overhead does the policy add?</w:t>
      </w:r>
    </w:p>
    <w:p>
      <w:pPr>
        <w:pStyle w:val="Heading1"/>
      </w:pPr>
      <w:r>
        <w:t>Scope and contribution boundary</w:t>
      </w:r>
    </w:p>
    <w:p>
      <w:r>
        <w:t>The scheduler operates in an application worker after MQTT delivery. It does not change the broker, transport protocol or MQTT delivery guarantees. The expected contribution is a clearly specified policy plus a reproducible evaluation of its operating limits. Aging and priority scheduling are established ideas. Algorithmic novelty remains a hypothesis until a focused related-work comparison is complete. No hard real-time guarantee or publication outcome is assumed.</w:t>
      </w:r>
    </w:p>
    <w:p>
      <w:pPr>
        <w:pStyle w:val="Heading1"/>
        <w:pageBreakBefore/>
      </w:pPr>
      <w:r>
        <w:t>Proposed system</w:t>
      </w:r>
    </w:p>
    <w:p>
      <w:r>
        <w:t>The pipeline contains a configurable event generator, a Mosquitto broker, a validating receiver, a bounded scheduling queue, one processing worker and a metrics recorder. A separate discrete-event simulator supports repeatable tests. Both paths will use the same policy interface and workload configuration wherever practical.</w:t>
      </w:r>
    </w:p>
    <w:p>
      <w:r>
        <w:t>Each event carries event_id, device_id, event_type, severity, creation time and a configured relative deadline. The receiver assigns an arrival sequence and local monotonic timestamps. Deadlines are application requirements supplied by the experiment, not security properties derived from MQTT QoS.</w:t>
      </w:r>
    </w:p>
    <w:tbl>
      <w:tblPr>
        <w:tblW w:type="auto" w:w="0"/>
        <w:tblLayout w:type="fixed"/>
        <w:tblLook w:firstColumn="1" w:firstRow="1" w:lastColumn="0" w:lastRow="0" w:noHBand="0" w:noVBand="1" w:val="04A0"/>
      </w:tblPr>
      <w:tblGrid>
        <w:gridCol w:w="2592"/>
        <w:gridCol w:w="7344"/>
      </w:tblGrid>
      <w:tr>
        <w:trPr>
          <w:cantSplit/>
          <w:tblHeader/>
        </w:trPr>
        <w:tc>
          <w:tcPr>
            <w:tcW w:type="dxa" w:w="2592"/>
            <w:tcBorders>
              <w:top w:val="single" w:sz="4" w:color="D9D9D9"/>
              <w:left w:val="single" w:sz="4" w:color="D9D9D9"/>
              <w:bottom w:val="single" w:sz="4" w:color="D9D9D9"/>
              <w:right w:val="single" w:sz="4" w:color="D9D9D9"/>
            </w:tcBorders>
            <w:shd w:fill="E8EEF4"/>
          </w:tcPr>
          <w:p>
            <w:pPr>
              <w:spacing w:after="100" w:before="100"/>
            </w:pPr>
            <w:r>
              <w:rPr>
                <w:b/>
                <w:sz w:val="20"/>
              </w:rPr>
              <w:t>Policy</w:t>
            </w:r>
          </w:p>
        </w:tc>
        <w:tc>
          <w:tcPr>
            <w:tcW w:type="dxa" w:w="7344"/>
            <w:tcBorders>
              <w:top w:val="single" w:sz="4" w:color="D9D9D9"/>
              <w:left w:val="single" w:sz="4" w:color="D9D9D9"/>
              <w:bottom w:val="single" w:sz="4" w:color="D9D9D9"/>
              <w:right w:val="single" w:sz="4" w:color="D9D9D9"/>
            </w:tcBorders>
            <w:shd w:fill="E8EEF4"/>
          </w:tcPr>
          <w:p>
            <w:pPr>
              <w:spacing w:after="100" w:before="100"/>
            </w:pPr>
            <w:r>
              <w:rPr>
                <w:b/>
                <w:sz w:val="20"/>
              </w:rPr>
              <w:t>Selection rule</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FIFO</w:t>
            </w:r>
          </w:p>
        </w:tc>
        <w:tc>
          <w:tcPr>
            <w:tcW w:type="dxa" w:w="7344"/>
            <w:tcBorders>
              <w:top w:val="single" w:sz="4" w:color="D9D9D9"/>
              <w:left w:val="single" w:sz="4" w:color="D9D9D9"/>
              <w:bottom w:val="single" w:sz="4" w:color="D9D9D9"/>
              <w:right w:val="single" w:sz="4" w:color="D9D9D9"/>
            </w:tcBorders>
          </w:tcPr>
          <w:p>
            <w:pPr>
              <w:spacing w:after="100" w:before="100"/>
            </w:pPr>
            <w:r>
              <w:rPr>
                <w:b w:val="0"/>
                <w:sz w:val="20"/>
              </w:rPr>
              <w:t>Oldest admitted event first.</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Strict priority</w:t>
            </w:r>
          </w:p>
        </w:tc>
        <w:tc>
          <w:tcPr>
            <w:tcW w:type="dxa" w:w="7344"/>
            <w:tcBorders>
              <w:top w:val="single" w:sz="4" w:color="D9D9D9"/>
              <w:left w:val="single" w:sz="4" w:color="D9D9D9"/>
              <w:bottom w:val="single" w:sz="4" w:color="D9D9D9"/>
              <w:right w:val="single" w:sz="4" w:color="D9D9D9"/>
            </w:tcBorders>
          </w:tcPr>
          <w:p>
            <w:pPr>
              <w:spacing w:after="100" w:before="100"/>
            </w:pPr>
            <w:r>
              <w:rPr>
                <w:b w:val="0"/>
                <w:sz w:val="20"/>
              </w:rPr>
              <w:t>Highest severity first; arrival order breaks ties.</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Priority with aging</w:t>
            </w:r>
          </w:p>
        </w:tc>
        <w:tc>
          <w:tcPr>
            <w:tcW w:type="dxa" w:w="7344"/>
            <w:tcBorders>
              <w:top w:val="single" w:sz="4" w:color="D9D9D9"/>
              <w:left w:val="single" w:sz="4" w:color="D9D9D9"/>
              <w:bottom w:val="single" w:sz="4" w:color="D9D9D9"/>
              <w:right w:val="single" w:sz="4" w:color="D9D9D9"/>
            </w:tcBorders>
          </w:tcPr>
          <w:p>
            <w:pPr>
              <w:spacing w:after="100" w:before="100"/>
            </w:pPr>
            <w:r>
              <w:rPr>
                <w:b w:val="0"/>
                <w:sz w:val="20"/>
              </w:rPr>
              <w:t>Raise effective priority as waiting time grows, using a fixed aging interval.</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Earliest deadline first</w:t>
            </w:r>
          </w:p>
        </w:tc>
        <w:tc>
          <w:tcPr>
            <w:tcW w:type="dxa" w:w="7344"/>
            <w:tcBorders>
              <w:top w:val="single" w:sz="4" w:color="D9D9D9"/>
              <w:left w:val="single" w:sz="4" w:color="D9D9D9"/>
              <w:bottom w:val="single" w:sz="4" w:color="D9D9D9"/>
              <w:right w:val="single" w:sz="4" w:color="D9D9D9"/>
            </w:tcBorders>
          </w:tcPr>
          <w:p>
            <w:pPr>
              <w:spacing w:after="100" w:before="100"/>
            </w:pPr>
            <w:r>
              <w:rPr>
                <w:b w:val="0"/>
                <w:sz w:val="20"/>
              </w:rPr>
              <w:t>Earliest absolute application deadline first; non-preemptive service.</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Candidate adaptive policy</w:t>
            </w:r>
          </w:p>
        </w:tc>
        <w:tc>
          <w:tcPr>
            <w:tcW w:type="dxa" w:w="7344"/>
            <w:tcBorders>
              <w:top w:val="single" w:sz="4" w:color="D9D9D9"/>
              <w:left w:val="single" w:sz="4" w:color="D9D9D9"/>
              <w:bottom w:val="single" w:sz="4" w:color="D9D9D9"/>
              <w:right w:val="single" w:sz="4" w:color="D9D9D9"/>
            </w:tcBorders>
          </w:tcPr>
          <w:p>
            <w:pPr>
              <w:spacing w:after="100" w:before="100"/>
            </w:pPr>
            <w:r>
              <w:rPr>
                <w:b w:val="0"/>
                <w:sz w:val="20"/>
              </w:rPr>
              <w:t>Adjust the aging interval with queue occupancy; use deterministic tie-breaking.</w:t>
            </w:r>
          </w:p>
        </w:tc>
      </w:tr>
    </w:tbl>
    <w:p>
      <w:pPr>
        <w:pStyle w:val="Heading1"/>
      </w:pPr>
      <w:r>
        <w:t>Candidate policy for investigation</w:t>
      </w:r>
    </w:p>
    <w:p>
      <w:r>
        <w:t>Use severity values 0, 1 and 2 for high, medium and low. At each dispatch, compute occupancy u as queued events divided by queue capacity. Let the aging interval be A(u) = Amax - u × (Amax - Amin), where 0 &lt; Amin ≤ Amax. For each event, effective severity is max(0, original severity - floor(waiting time / A(u))). Choose the lowest effective severity, then earliest deadline, then arrival sequence.</w:t>
      </w:r>
    </w:p>
    <w:p>
      <w:r>
        <w:t>As congestion rises, the shorter interval lets older routine events compete sooner. This can also increase urgent deadline misses. The policy is deliberately simple enough to implement, inspect and falsify. It will be revised or rejected if literature overlap or experimental evidence does not support a useful contribution. It provides no formal starvation bound.</w:t>
      </w:r>
    </w:p>
    <w:p>
      <w:pPr>
        <w:pStyle w:val="Heading1"/>
      </w:pPr>
      <w:r>
        <w:t>Fair implementation rules</w:t>
      </w:r>
    </w:p>
    <w:p>
      <w:r>
        <w:t>All policies use the same worker count, queue capacity, validation and processing costs. Service is non-preemptive. When the queue is full, reject the new event for every policy and record its original severity. Include policy selection overhead in live timing. Measure the cost of scanning a queue for the candidate policy rather than treating dispatch as free.</w:t>
      </w:r>
    </w:p>
    <w:p>
      <w:pPr>
        <w:pStyle w:val="Heading1"/>
        <w:pageBreakBefore/>
      </w:pPr>
      <w:r>
        <w:t>Experimental design</w:t>
      </w:r>
    </w:p>
    <w:p>
      <w:r>
        <w:t>Begin with the existing 10 ms service model, whose nominal capacity is 100 events per second. Use synthetic workloads with explicit assumptions, then validate selected cases through MQTT. These are stress tests of a model and prototype, not evidence of deployment performance.</w:t>
      </w:r>
    </w:p>
    <w:tbl>
      <w:tblPr>
        <w:tblW w:type="auto" w:w="0"/>
        <w:tblLayout w:type="fixed"/>
        <w:tblLook w:firstColumn="1" w:firstRow="1" w:lastColumn="0" w:lastRow="0" w:noHBand="0" w:noVBand="1" w:val="04A0"/>
      </w:tblPr>
      <w:tblGrid>
        <w:gridCol w:w="2592"/>
        <w:gridCol w:w="7344"/>
      </w:tblGrid>
      <w:tr>
        <w:trPr>
          <w:cantSplit/>
          <w:tblHeader/>
        </w:trPr>
        <w:tc>
          <w:tcPr>
            <w:tcW w:type="dxa" w:w="2592"/>
            <w:tcBorders>
              <w:top w:val="single" w:sz="4" w:color="D9D9D9"/>
              <w:left w:val="single" w:sz="4" w:color="D9D9D9"/>
              <w:bottom w:val="single" w:sz="4" w:color="D9D9D9"/>
              <w:right w:val="single" w:sz="4" w:color="D9D9D9"/>
            </w:tcBorders>
            <w:shd w:fill="E8EEF4"/>
          </w:tcPr>
          <w:p>
            <w:pPr>
              <w:spacing w:after="100" w:before="100"/>
            </w:pPr>
            <w:r>
              <w:rPr>
                <w:b/>
                <w:sz w:val="20"/>
              </w:rPr>
              <w:t>Factor</w:t>
            </w:r>
          </w:p>
        </w:tc>
        <w:tc>
          <w:tcPr>
            <w:tcW w:type="dxa" w:w="7344"/>
            <w:tcBorders>
              <w:top w:val="single" w:sz="4" w:color="D9D9D9"/>
              <w:left w:val="single" w:sz="4" w:color="D9D9D9"/>
              <w:bottom w:val="single" w:sz="4" w:color="D9D9D9"/>
              <w:right w:val="single" w:sz="4" w:color="D9D9D9"/>
            </w:tcBorders>
            <w:shd w:fill="E8EEF4"/>
          </w:tcPr>
          <w:p>
            <w:pPr>
              <w:spacing w:after="100" w:before="100"/>
            </w:pPr>
            <w:r>
              <w:rPr>
                <w:b/>
                <w:sz w:val="20"/>
              </w:rPr>
              <w:t>Initial experiment values</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Offered load</w:t>
            </w:r>
          </w:p>
        </w:tc>
        <w:tc>
          <w:tcPr>
            <w:tcW w:type="dxa" w:w="7344"/>
            <w:tcBorders>
              <w:top w:val="single" w:sz="4" w:color="D9D9D9"/>
              <w:left w:val="single" w:sz="4" w:color="D9D9D9"/>
              <w:bottom w:val="single" w:sz="4" w:color="D9D9D9"/>
              <w:right w:val="single" w:sz="4" w:color="D9D9D9"/>
            </w:tcBorders>
          </w:tcPr>
          <w:p>
            <w:pPr>
              <w:spacing w:after="100" w:before="100"/>
            </w:pPr>
            <w:r>
              <w:rPr>
                <w:b w:val="0"/>
                <w:sz w:val="20"/>
              </w:rPr>
              <w:t>0.5, 0.9, 1.2 and 2.0 times nominal service capacity</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Traffic shape</w:t>
            </w:r>
          </w:p>
        </w:tc>
        <w:tc>
          <w:tcPr>
            <w:tcW w:type="dxa" w:w="7344"/>
            <w:tcBorders>
              <w:top w:val="single" w:sz="4" w:color="D9D9D9"/>
              <w:left w:val="single" w:sz="4" w:color="D9D9D9"/>
              <w:bottom w:val="single" w:sz="4" w:color="D9D9D9"/>
              <w:right w:val="single" w:sz="4" w:color="D9D9D9"/>
            </w:tcBorders>
          </w:tcPr>
          <w:p>
            <w:pPr>
              <w:spacing w:after="100" w:before="100"/>
            </w:pPr>
            <w:r>
              <w:rPr>
                <w:b w:val="0"/>
                <w:sz w:val="20"/>
              </w:rPr>
              <w:t>Poisson arrivals and controlled bursts with equal total event counts</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High medium low mix</w:t>
            </w:r>
          </w:p>
        </w:tc>
        <w:tc>
          <w:tcPr>
            <w:tcW w:type="dxa" w:w="7344"/>
            <w:tcBorders>
              <w:top w:val="single" w:sz="4" w:color="D9D9D9"/>
              <w:left w:val="single" w:sz="4" w:color="D9D9D9"/>
              <w:bottom w:val="single" w:sz="4" w:color="D9D9D9"/>
              <w:right w:val="single" w:sz="4" w:color="D9D9D9"/>
            </w:tcBorders>
          </w:tcPr>
          <w:p>
            <w:pPr>
              <w:spacing w:after="100" w:before="100"/>
            </w:pPr>
            <w:r>
              <w:rPr>
                <w:b w:val="0"/>
                <w:sz w:val="20"/>
              </w:rPr>
              <w:t>10/20/70 percent; 30/30/40 percent; 60/20/20 percent</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Processing cost</w:t>
            </w:r>
          </w:p>
        </w:tc>
        <w:tc>
          <w:tcPr>
            <w:tcW w:type="dxa" w:w="7344"/>
            <w:tcBorders>
              <w:top w:val="single" w:sz="4" w:color="D9D9D9"/>
              <w:left w:val="single" w:sz="4" w:color="D9D9D9"/>
              <w:bottom w:val="single" w:sz="4" w:color="D9D9D9"/>
              <w:right w:val="single" w:sz="4" w:color="D9D9D9"/>
            </w:tcBorders>
          </w:tcPr>
          <w:p>
            <w:pPr>
              <w:spacing w:after="100" w:before="100"/>
            </w:pPr>
            <w:r>
              <w:rPr>
                <w:b w:val="0"/>
                <w:sz w:val="20"/>
              </w:rPr>
              <w:t>Constant 10 ms; variable cost with the same mean; correlated cost sensitivity</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Queue capacity</w:t>
            </w:r>
          </w:p>
        </w:tc>
        <w:tc>
          <w:tcPr>
            <w:tcW w:type="dxa" w:w="7344"/>
            <w:tcBorders>
              <w:top w:val="single" w:sz="4" w:color="D9D9D9"/>
              <w:left w:val="single" w:sz="4" w:color="D9D9D9"/>
              <w:bottom w:val="single" w:sz="4" w:color="D9D9D9"/>
              <w:right w:val="single" w:sz="4" w:color="D9D9D9"/>
            </w:tcBorders>
          </w:tcPr>
          <w:p>
            <w:pPr>
              <w:spacing w:after="100" w:before="100"/>
            </w:pPr>
            <w:r>
              <w:rPr>
                <w:b w:val="0"/>
                <w:sz w:val="20"/>
              </w:rPr>
              <w:t>100 and 1000 waiting events</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Relative deadlines</w:t>
            </w:r>
          </w:p>
        </w:tc>
        <w:tc>
          <w:tcPr>
            <w:tcW w:type="dxa" w:w="7344"/>
            <w:tcBorders>
              <w:top w:val="single" w:sz="4" w:color="D9D9D9"/>
              <w:left w:val="single" w:sz="4" w:color="D9D9D9"/>
              <w:bottom w:val="single" w:sz="4" w:color="D9D9D9"/>
              <w:right w:val="single" w:sz="4" w:color="D9D9D9"/>
            </w:tcBorders>
          </w:tcPr>
          <w:p>
            <w:pPr>
              <w:spacing w:after="100" w:before="100"/>
            </w:pPr>
            <w:r>
              <w:rPr>
                <w:b w:val="0"/>
                <w:sz w:val="20"/>
              </w:rPr>
              <w:t>Illustrative 100, 500 and 2000 ms; vary these before making domain claims</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Replication</w:t>
            </w:r>
          </w:p>
        </w:tc>
        <w:tc>
          <w:tcPr>
            <w:tcW w:type="dxa" w:w="7344"/>
            <w:tcBorders>
              <w:top w:val="single" w:sz="4" w:color="D9D9D9"/>
              <w:left w:val="single" w:sz="4" w:color="D9D9D9"/>
              <w:bottom w:val="single" w:sz="4" w:color="D9D9D9"/>
              <w:right w:val="single" w:sz="4" w:color="D9D9D9"/>
            </w:tcBorders>
          </w:tcPr>
          <w:p>
            <w:pPr>
              <w:spacing w:after="100" w:before="100"/>
            </w:pPr>
            <w:r>
              <w:rPr>
                <w:b w:val="0"/>
                <w:sz w:val="20"/>
              </w:rPr>
              <w:t>At least 10 seeds per selected scenario; increase if uncertainty remains large</w:t>
            </w:r>
          </w:p>
        </w:tc>
      </w:tr>
    </w:tbl>
    <w:p>
      <w:r>
        <w:t>Stage the matrix: establish load effects first, then stress the leading configurations with burst, mix and processing-cost changes. Freeze candidate parameters using tuning traces; use separate evaluation seeds and traffic patterns. Do not select parameters on the final results. Use enough events per class for tail estimation; report actual sample counts.</w:t>
      </w:r>
    </w:p>
    <w:p>
      <w:pPr>
        <w:pStyle w:val="Heading1"/>
      </w:pPr>
      <w:r>
        <w:t>Measurements and analysis</w:t>
      </w:r>
    </w:p>
    <w:p>
      <w:r>
        <w:t>Primary outcomes are the high-priority deadline failure fraction and the low-priority waiting-time distribution. Define deadline failure as an event dropped, unfinished at the observation cutoff, or completed after its deadline, divided by all generated events of that class. Also report the admitted-event deadline-miss fraction separately.</w:t>
      </w:r>
    </w:p>
    <w:p>
      <w:r>
        <w:t>Report per-class mean, p95 and p99 response latency, p95 and maximum waiting, completed counts, drop fractions, queue occupancy, throughput, CPU and memory. Report latency distributions together with loss and unfinished counts to avoid making a policy look faster by excluding difficult events.</w:t>
      </w:r>
    </w:p>
    <w:p>
      <w:r>
        <w:t>Use identical traces for paired policy comparisons. Report effect sizes and 95 percent confidence intervals across independent runs, not across individual events. Preserve raw traces, configurations, analysis scripts, environment details and exact commit identifiers.</w:t>
      </w:r>
    </w:p>
    <w:p>
      <w:pPr>
        <w:pStyle w:val="Heading1"/>
      </w:pPr>
      <w:r>
        <w:t>Ablation and live validation</w:t>
      </w:r>
    </w:p>
    <w:p>
      <w:r>
        <w:t>Compare the candidate with fixed aging, occupancy adaptation disabled, and deadline tie-breaking disabled. Replay a subset through MQTT with a single receiver and isolated runs. Deduplicate QoS 1 deliveries by event identifier, log duplicates separately, and verify expected delivery counts. Use receiver-local timing for queue analysis; claim end-to-end latency only with a verified common clock or an explicitly validated synchronization method.</w:t>
      </w:r>
    </w:p>
    <w:p>
      <w:pPr>
        <w:pStyle w:val="Heading1"/>
        <w:pageBreakBefore/>
      </w:pPr>
      <w:r>
        <w:t>Delivery plan</w:t>
      </w:r>
    </w:p>
    <w:tbl>
      <w:tblPr>
        <w:tblW w:type="auto" w:w="0"/>
        <w:tblLayout w:type="fixed"/>
        <w:tblLook w:firstColumn="1" w:firstRow="1" w:lastColumn="0" w:lastRow="0" w:noHBand="0" w:noVBand="1" w:val="04A0"/>
      </w:tblPr>
      <w:tblGrid>
        <w:gridCol w:w="2592"/>
        <w:gridCol w:w="7344"/>
      </w:tblGrid>
      <w:tr>
        <w:trPr>
          <w:cantSplit/>
          <w:tblHeader/>
        </w:trPr>
        <w:tc>
          <w:tcPr>
            <w:tcW w:type="dxa" w:w="2592"/>
            <w:tcBorders>
              <w:top w:val="single" w:sz="4" w:color="D9D9D9"/>
              <w:left w:val="single" w:sz="4" w:color="D9D9D9"/>
              <w:bottom w:val="single" w:sz="4" w:color="D9D9D9"/>
              <w:right w:val="single" w:sz="4" w:color="D9D9D9"/>
            </w:tcBorders>
            <w:shd w:fill="E8EEF4"/>
          </w:tcPr>
          <w:p>
            <w:pPr>
              <w:spacing w:after="100" w:before="100"/>
            </w:pPr>
            <w:r>
              <w:rPr>
                <w:b/>
                <w:sz w:val="20"/>
              </w:rPr>
              <w:t>Period</w:t>
            </w:r>
          </w:p>
        </w:tc>
        <w:tc>
          <w:tcPr>
            <w:tcW w:type="dxa" w:w="7344"/>
            <w:tcBorders>
              <w:top w:val="single" w:sz="4" w:color="D9D9D9"/>
              <w:left w:val="single" w:sz="4" w:color="D9D9D9"/>
              <w:bottom w:val="single" w:sz="4" w:color="D9D9D9"/>
              <w:right w:val="single" w:sz="4" w:color="D9D9D9"/>
            </w:tcBorders>
            <w:shd w:fill="E8EEF4"/>
          </w:tcPr>
          <w:p>
            <w:pPr>
              <w:spacing w:after="100" w:before="100"/>
            </w:pPr>
            <w:r>
              <w:rPr>
                <w:b/>
                <w:sz w:val="20"/>
              </w:rPr>
              <w:t>Output and completion check</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Weeks 1 to 3</w:t>
            </w:r>
          </w:p>
        </w:tc>
        <w:tc>
          <w:tcPr>
            <w:tcW w:type="dxa" w:w="7344"/>
            <w:tcBorders>
              <w:top w:val="single" w:sz="4" w:color="D9D9D9"/>
              <w:left w:val="single" w:sz="4" w:color="D9D9D9"/>
              <w:bottom w:val="single" w:sz="4" w:color="D9D9D9"/>
              <w:right w:val="single" w:sz="4" w:color="D9D9D9"/>
            </w:tcBorders>
          </w:tcPr>
          <w:p>
            <w:pPr>
              <w:spacing w:after="100" w:before="100"/>
            </w:pPr>
            <w:r>
              <w:rPr>
                <w:b w:val="0"/>
                <w:sz w:val="20"/>
              </w:rPr>
              <w:t>Verify related work and define the gap. Freeze the problem and contribution boundary.</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Weeks 4 to 6</w:t>
            </w:r>
          </w:p>
        </w:tc>
        <w:tc>
          <w:tcPr>
            <w:tcW w:type="dxa" w:w="7344"/>
            <w:tcBorders>
              <w:top w:val="single" w:sz="4" w:color="D9D9D9"/>
              <w:left w:val="single" w:sz="4" w:color="D9D9D9"/>
              <w:bottom w:val="single" w:sz="4" w:color="D9D9D9"/>
              <w:right w:val="single" w:sz="4" w:color="D9D9D9"/>
            </w:tcBorders>
          </w:tcPr>
          <w:p>
            <w:pPr>
              <w:spacing w:after="100" w:before="100"/>
            </w:pPr>
            <w:r>
              <w:rPr>
                <w:b w:val="0"/>
                <w:sz w:val="20"/>
              </w:rPr>
              <w:t>Implement baselines, deadlines, bounded queues and metrics. Pass ordering, accounting and overload tests.</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Weeks 7 to 9</w:t>
            </w:r>
          </w:p>
        </w:tc>
        <w:tc>
          <w:tcPr>
            <w:tcW w:type="dxa" w:w="7344"/>
            <w:tcBorders>
              <w:top w:val="single" w:sz="4" w:color="D9D9D9"/>
              <w:left w:val="single" w:sz="4" w:color="D9D9D9"/>
              <w:bottom w:val="single" w:sz="4" w:color="D9D9D9"/>
              <w:right w:val="single" w:sz="4" w:color="D9D9D9"/>
            </w:tcBorders>
          </w:tcPr>
          <w:p>
            <w:pPr>
              <w:spacing w:after="100" w:before="100"/>
            </w:pPr>
            <w:r>
              <w:rPr>
                <w:b w:val="0"/>
                <w:sz w:val="20"/>
              </w:rPr>
              <w:t>Implement the candidate policy and run tuning experiments. Freeze evaluation settings.</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Weeks 10 to 13</w:t>
            </w:r>
          </w:p>
        </w:tc>
        <w:tc>
          <w:tcPr>
            <w:tcW w:type="dxa" w:w="7344"/>
            <w:tcBorders>
              <w:top w:val="single" w:sz="4" w:color="D9D9D9"/>
              <w:left w:val="single" w:sz="4" w:color="D9D9D9"/>
              <w:bottom w:val="single" w:sz="4" w:color="D9D9D9"/>
              <w:right w:val="single" w:sz="4" w:color="D9D9D9"/>
            </w:tcBorders>
          </w:tcPr>
          <w:p>
            <w:pPr>
              <w:spacing w:after="100" w:before="100"/>
            </w:pPr>
            <w:r>
              <w:rPr>
                <w:b w:val="0"/>
                <w:sz w:val="20"/>
              </w:rPr>
              <w:t>Run independent simulations, ablations and MQTT experiments. Archive reproducible evidence.</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20"/>
              </w:rPr>
              <w:t>Weeks 14 to 16</w:t>
            </w:r>
          </w:p>
        </w:tc>
        <w:tc>
          <w:tcPr>
            <w:tcW w:type="dxa" w:w="7344"/>
            <w:tcBorders>
              <w:top w:val="single" w:sz="4" w:color="D9D9D9"/>
              <w:left w:val="single" w:sz="4" w:color="D9D9D9"/>
              <w:bottom w:val="single" w:sz="4" w:color="D9D9D9"/>
              <w:right w:val="single" w:sz="4" w:color="D9D9D9"/>
            </w:tcBorders>
          </w:tcPr>
          <w:p>
            <w:pPr>
              <w:spacing w:after="100" w:before="100"/>
            </w:pPr>
            <w:r>
              <w:rPr>
                <w:b w:val="0"/>
                <w:sz w:val="20"/>
              </w:rPr>
              <w:t>Analyze results, document limitations and prepare a manuscript and release candidate.</w:t>
            </w:r>
          </w:p>
        </w:tc>
      </w:tr>
    </w:tbl>
    <w:p>
      <w:pPr>
        <w:pStyle w:val="Heading1"/>
      </w:pPr>
      <w:r>
        <w:t>Criteria for a credible paper</w:t>
      </w:r>
    </w:p>
    <w:p>
      <w:r>
        <w:t>Proceed with an improvement claim only if held-out runs show a repeatable benefit against strong baselines and disclose the urgent-versus-routine tradeoff. If the adaptive policy adds no useful benefit, report that outcome honestly and reconsider whether a sufficiently distinctive empirical finding supports submission. A dashboard or implementation alone does not establish a research contribution.</w:t>
      </w:r>
    </w:p>
    <w:p>
      <w:pPr>
        <w:pStyle w:val="Heading1"/>
      </w:pPr>
      <w:r>
        <w:t>Risks and controls</w:t>
      </w:r>
    </w:p>
    <w:p>
      <w:r>
        <w:t>Synthetic traffic may miss real device behavior; vary arrival and service assumptions and state the limits. Unjustified deadlines can distort conclusions; explain their source and test sensitivity. Low-priority starvation can remain under overload; do not claim prevention without proof. Alert severity can be spoofed; use trusted lab inputs and keep authentication or adversarial prioritization as separately scoped future work.</w:t>
      </w:r>
    </w:p>
    <w:p>
      <w:pPr>
        <w:pStyle w:val="Heading1"/>
      </w:pPr>
      <w:r>
        <w:t>Release and reuse</w:t>
      </w:r>
    </w:p>
    <w:p>
      <w:r>
        <w:t>The planned release will include installation instructions, policy definitions, workload generators, tests, experiment configurations, raw result schemas and plotting scripts. Add a suitable license and contribution guidance before presenting the repository as a reusable open-source release. Keep private data, credentials and identifiable security logs out of release artifacts. Repository visibility alone does not grant reuse rights.</w:t>
      </w:r>
    </w:p>
    <w:p>
      <w:pPr>
        <w:pStyle w:val="Heading1"/>
        <w:pageBreakBefore/>
      </w:pPr>
      <w:r>
        <w:t>Initial reference foundation</w:t>
      </w:r>
    </w:p>
    <w:p>
      <w:r>
        <w:t>[1] C. L. Liu and James W. Layland. 1973. Scheduling Algorithms for Multiprogramming in a Hard-Real-Time Environment. Journal of the ACM, 20(1), 46–61. Publisher: Association for Computing Machinery. DOI: 10.1145/321738.321743. https://dl.acm.org/doi/10.1145/321738.321743</w:t>
      </w:r>
    </w:p>
    <w:p>
      <w:r>
        <w:t>Relevance: provides foundational real-time scheduling context. Its task assumptions and guarantees do not transfer automatically to this non-preemptive MQTT application.</w:t>
      </w:r>
    </w:p>
    <w:p>
      <w:r>
        <w:t>[2] Andrew Banks, Ed Briggs, Ken Borgendale and Rahul Gupta, editors. 2019. MQTT Version 5.0. OASIS Standard, 7 March 2019. Publisher: OASIS Open. https://docs.oasis-open.org/mqtt/mqtt/v5.0/os/mqtt-v5.0-os.html</w:t>
      </w:r>
    </w:p>
    <w:p>
      <w:r>
        <w:t>Relevance: defines MQTT messaging and delivery semantics. The current prototype uses the client default MQTT 3.1.1; protocol version and QoS will be explicitly fixed for evaluation.</w:t>
      </w:r>
    </w:p>
    <w:p>
      <w:r>
        <w:t>Before freezing the policy, extend the literature matrix with recent verified MQTT priority, deadline and fairness studies. Compare decision rules, queue location, workloads and limitations. This foundation does not establish a unique research gap.</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