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Priority Based IoT Alert Processing</w:t>
      </w:r>
    </w:p>
    <w:p>
      <w:pPr>
        <w:pStyle w:val="Subtitle"/>
      </w:pPr>
      <w:r>
        <w:t>Research proposal</w:t>
      </w:r>
    </w:p>
    <w:p>
      <w:r>
        <w:t>Working paper title: Evaluating Deadline and Waiting Time Tradeoffs in MQTT Based IoT Alert Processing</w:t>
      </w:r>
    </w:p>
    <w:p>
      <w:pPr>
        <w:pStyle w:val="Heading1"/>
      </w:pPr>
      <w:r>
        <w:t>Purpose and expected value</w:t>
      </w:r>
    </w:p>
    <w:p>
      <w:r>
        <w:t>We will build and evaluate an IoT alert processing system that gives urgent alerts timely service while reducing excessive waiting for routine events. The project will produce a reproducible implementation, a controlled comparison of scheduling policies, and evidence suitable for a conference manuscript.</w:t>
      </w:r>
    </w:p>
    <w:p>
      <w:r>
        <w:t>The target is a building or small industrial gateway that enriches already-classified security events with device context and records an outcome. Tampering alerts are high priority, repeated authentication failures medium, and device health events low. During incident bursts, a single application worker may fall behind MQTT delivery. This is a bottleneck hypothesis to measure, not a measured deployment fact. The pilot uses synthetic class labels and a 10 ms processing cost; it does not detect attacks.</w:t>
      </w:r>
    </w:p>
    <w:p>
      <w:pPr>
        <w:pStyle w:val="Heading1"/>
      </w:pPr>
      <w:r>
        <w:t>Problem statement</w:t>
      </w:r>
    </w:p>
    <w:p>
      <w:r>
        <w:t>FIFO handles events in arrival order, so urgent alerts may wait behind routine work. Strict priority favors urgent alerts but can postpone lower priority work. We will investigate when a simple congestion-aware policy offers a useful balance. Any claimed improvement must include the cost paid by other event classes.</w:t>
      </w:r>
    </w:p>
    <w:p>
      <w:pPr>
        <w:pStyle w:val="Heading1"/>
      </w:pPr>
      <w:r>
        <w:t>Research questions</w:t>
      </w:r>
    </w:p>
    <w:p>
      <w:r>
        <w:t>RQ1 How do FIFO, strict priority, aging and earliest deadline first differ in urgent deadline misses and routine waiting under changing load?</w:t>
      </w:r>
    </w:p>
    <w:p>
      <w:r>
        <w:t>RQ2 Can a congestion-aware aging policy improve this tradeoff on workloads and random seeds not used for tuning?</w:t>
      </w:r>
    </w:p>
    <w:p>
      <w:r>
        <w:t>RQ3 Do the main trends remain visible in a controlled MQTT testbed, and what CPU and scheduling overhead does the policy add?</w:t>
      </w:r>
    </w:p>
    <w:p>
      <w:pPr>
        <w:pStyle w:val="Heading1"/>
      </w:pPr>
      <w:r>
        <w:t>Scope and contribution boundary</w:t>
      </w:r>
    </w:p>
    <w:p>
      <w:r>
        <w:t>The scheduler runs after MQTT delivery. Its proposed contribution is an empirically tested decision rule for balancing urgent deadlines and routine waiting at a bounded application queue. Existing MQTT work already addresses priority and fairness, including R8. Queue location alone does not establish novelty. Full comparison with the closest prior work is required before freezing an algorithmic contribution. No hard timing guarantee is claimed.</w:t>
      </w:r>
    </w:p>
    <w:p>
      <w:pPr>
        <w:pStyle w:val="Heading1"/>
        <w:pageBreakBefore/>
      </w:pPr>
      <w:r>
        <w:t>Proposed system</w:t>
      </w:r>
    </w:p>
    <w:p>
      <w:r>
        <w:t>The planned pipeline contains an event generator, unmodified Mosquitto broker, validating receiver, bounded queue, one enrichment worker and a metrics recorder. Instrument broker forwarding, enqueue, queue residence and processing separately. Proceed with the worker-queue claim only if that stage is a material bottleneck. The current pilot uses an unbounded queue; bounded admission remains future implementation.</w:t>
      </w:r>
    </w:p>
    <w:p>
      <w:r>
        <w:t>Planned event fields are event_id, device_id, event_type, trusted severity, creation time and relative deadline. Receiver-local timestamps use a monotonic clock. The 100, 500 and 2000 ms deadlines are illustrative service budgets, not field requirements. Validate them with an operator and sweep them in sensitivity tests. See docs/application-scenario.md for the measurement and trust boundaries.</w:t>
      </w:r>
    </w:p>
    <w:tbl>
      <w:tblPr>
        <w:tblW w:type="auto" w:w="0"/>
        <w:tblLayout w:type="fixed"/>
        <w:tblLook w:firstColumn="1" w:firstRow="1" w:lastColumn="0" w:lastRow="0" w:noHBand="0" w:noVBand="1" w:val="04A0"/>
      </w:tblPr>
      <w:tblGrid>
        <w:gridCol w:w="2592"/>
        <w:gridCol w:w="7344"/>
      </w:tblGrid>
      <w:tr>
        <w:trPr>
          <w:cantSplit/>
          <w:tblHeader/>
        </w:trPr>
        <w:tc>
          <w:tcPr>
            <w:tcW w:type="dxa" w:w="2592"/>
            <w:tcBorders>
              <w:top w:val="single" w:sz="4" w:color="D9D9D9"/>
              <w:left w:val="single" w:sz="4" w:color="D9D9D9"/>
              <w:bottom w:val="single" w:sz="4" w:color="D9D9D9"/>
              <w:right w:val="single" w:sz="4" w:color="D9D9D9"/>
            </w:tcBorders>
            <w:shd w:fill="E8EEF4"/>
          </w:tcPr>
          <w:p>
            <w:pPr>
              <w:spacing w:after="100" w:before="100"/>
            </w:pPr>
            <w:r>
              <w:rPr>
                <w:b/>
                <w:sz w:val="20"/>
              </w:rPr>
              <w:t>Policy</w:t>
            </w:r>
          </w:p>
        </w:tc>
        <w:tc>
          <w:tcPr>
            <w:tcW w:type="dxa" w:w="7344"/>
            <w:tcBorders>
              <w:top w:val="single" w:sz="4" w:color="D9D9D9"/>
              <w:left w:val="single" w:sz="4" w:color="D9D9D9"/>
              <w:bottom w:val="single" w:sz="4" w:color="D9D9D9"/>
              <w:right w:val="single" w:sz="4" w:color="D9D9D9"/>
            </w:tcBorders>
            <w:shd w:fill="E8EEF4"/>
          </w:tcPr>
          <w:p>
            <w:pPr>
              <w:spacing w:after="100" w:before="100"/>
            </w:pPr>
            <w:r>
              <w:rPr>
                <w:b/>
                <w:sz w:val="20"/>
              </w:rPr>
              <w:t>Selection rule</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FIFO</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Oldest admitted event first.</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Strict priority</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Highest severity first; arrival order breaks ties.</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Priority with aging</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Raise effective priority as waiting time grows, using a fixed aging interval.</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Earliest deadline first</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Earliest absolute application deadline first; non-preemptive service.</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Candidate adaptive policy</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Adjust the aging interval with queue occupancy; use deterministic tie-breaking.</w:t>
            </w:r>
          </w:p>
        </w:tc>
      </w:tr>
    </w:tbl>
    <w:p>
      <w:pPr>
        <w:pStyle w:val="Heading1"/>
      </w:pPr>
      <w:r>
        <w:t>Candidate policy for investigation</w:t>
      </w:r>
    </w:p>
    <w:p>
      <w:r>
        <w:t>Use severity values 0, 1 and 2 for high, medium and low. At each dispatch, compute occupancy u as queued events divided by queue capacity. Let the aging interval be A(u) = Amax - u × (Amax - Amin), where 0 &lt; Amin ≤ Amax. For each event, effective severity is max(0, original severity - floor(waiting time / A(u))). Choose the lowest effective severity, then earliest deadline, then arrival sequence.</w:t>
      </w:r>
    </w:p>
    <w:p>
      <w:r>
        <w:t>As congestion rises, the shorter interval lets older routine events compete sooner. This can also increase urgent deadline misses. The policy is deliberately simple enough to implement, inspect and falsify. It will be revised or rejected if literature overlap or experimental evidence does not support a useful contribution. It provides no formal starvation bound.</w:t>
      </w:r>
    </w:p>
    <w:p>
      <w:pPr>
        <w:pStyle w:val="Heading1"/>
      </w:pPr>
      <w:r>
        <w:t>Fair implementation rules</w:t>
      </w:r>
    </w:p>
    <w:p>
      <w:r>
        <w:t>All policies use the same worker count, queue capacity, validation and processing costs. Service is non-preemptive. When the queue is full, reject the new event for every policy and record its original severity. Include policy selection overhead in live timing. Measure the cost of scanning a queue for the candidate policy rather than treating dispatch as free.</w:t>
      </w:r>
    </w:p>
    <w:p>
      <w:pPr>
        <w:pStyle w:val="Heading1"/>
        <w:pageBreakBefore/>
      </w:pPr>
      <w:r>
        <w:t>Experimental design</w:t>
      </w:r>
    </w:p>
    <w:p>
      <w:r>
        <w:t>Begin with the existing 10 ms service model, whose nominal capacity is 100 events per second. Use synthetic workloads with explicit assumptions, then validate selected cases through MQTT. These are stress tests of a model and prototype, not evidence of deployment performance.</w:t>
      </w:r>
    </w:p>
    <w:tbl>
      <w:tblPr>
        <w:tblW w:type="auto" w:w="0"/>
        <w:tblLayout w:type="fixed"/>
        <w:tblLook w:firstColumn="1" w:firstRow="1" w:lastColumn="0" w:lastRow="0" w:noHBand="0" w:noVBand="1" w:val="04A0"/>
      </w:tblPr>
      <w:tblGrid>
        <w:gridCol w:w="2592"/>
        <w:gridCol w:w="7344"/>
      </w:tblGrid>
      <w:tr>
        <w:trPr>
          <w:cantSplit/>
          <w:tblHeader/>
        </w:trPr>
        <w:tc>
          <w:tcPr>
            <w:tcW w:type="dxa" w:w="2592"/>
            <w:tcBorders>
              <w:top w:val="single" w:sz="4" w:color="D9D9D9"/>
              <w:left w:val="single" w:sz="4" w:color="D9D9D9"/>
              <w:bottom w:val="single" w:sz="4" w:color="D9D9D9"/>
              <w:right w:val="single" w:sz="4" w:color="D9D9D9"/>
            </w:tcBorders>
            <w:shd w:fill="E8EEF4"/>
          </w:tcPr>
          <w:p>
            <w:pPr>
              <w:spacing w:after="100" w:before="100"/>
            </w:pPr>
            <w:r>
              <w:rPr>
                <w:b/>
                <w:sz w:val="20"/>
              </w:rPr>
              <w:t>Factor</w:t>
            </w:r>
          </w:p>
        </w:tc>
        <w:tc>
          <w:tcPr>
            <w:tcW w:type="dxa" w:w="7344"/>
            <w:tcBorders>
              <w:top w:val="single" w:sz="4" w:color="D9D9D9"/>
              <w:left w:val="single" w:sz="4" w:color="D9D9D9"/>
              <w:bottom w:val="single" w:sz="4" w:color="D9D9D9"/>
              <w:right w:val="single" w:sz="4" w:color="D9D9D9"/>
            </w:tcBorders>
            <w:shd w:fill="E8EEF4"/>
          </w:tcPr>
          <w:p>
            <w:pPr>
              <w:spacing w:after="100" w:before="100"/>
            </w:pPr>
            <w:r>
              <w:rPr>
                <w:b/>
                <w:sz w:val="20"/>
              </w:rPr>
              <w:t>Initial experiment values</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Offered load</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0.5, 0.9, 1.2 and 2.0 times nominal service capacity</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Traffic shape</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Poisson arrivals and controlled bursts with equal total event counts</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High medium low mix</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10/20/70 percent; 30/30/40 percent; 60/20/20 percent</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Processing cost</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Constant 10 ms; variable cost with the same mean; correlated cost sensitivity</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Queue capacity</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100 and 1000 waiting events</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Relative deadlines</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Illustrative 100, 500 and 2000 ms; vary these before making domain claims</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Replication</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At least 10 seeds per selected scenario; increase if uncertainty remains large</w:t>
            </w:r>
          </w:p>
        </w:tc>
      </w:tr>
    </w:tbl>
    <w:p>
      <w:r>
        <w:t>Stage the matrix: establish load effects first, then stress the leading configurations with burst, mix and processing-cost changes. Freeze candidate parameters using tuning traces; use separate evaluation seeds and traffic patterns. Do not select parameters on the final results. Use enough events per class for tail estimation; report actual sample counts.</w:t>
      </w:r>
    </w:p>
    <w:p>
      <w:pPr>
        <w:pStyle w:val="Heading1"/>
      </w:pPr>
      <w:r>
        <w:t>Measurements and analysis</w:t>
      </w:r>
    </w:p>
    <w:p>
      <w:r>
        <w:t>Primary outcomes are the high-priority deadline failure fraction and the low-priority waiting-time distribution. Define deadline failure as an event dropped, unfinished at the observation cutoff, or completed after its deadline, divided by all generated events of that class. Also report the admitted-event deadline-miss fraction separately.</w:t>
      </w:r>
    </w:p>
    <w:p>
      <w:r>
        <w:t>Report per-class mean, p95 and p99 response latency, p95 and maximum waiting, completed counts, drop fractions, queue occupancy, throughput, CPU and memory. Report latency distributions together with loss and unfinished counts to avoid making a policy look faster by excluding difficult events.</w:t>
      </w:r>
    </w:p>
    <w:p>
      <w:r>
        <w:t>Use identical traces for paired policy comparisons. Report effect sizes and 95 percent confidence intervals across independent runs, not across individual events. Preserve raw traces, configurations, analysis scripts, environment details and exact commit identifiers.</w:t>
      </w:r>
    </w:p>
    <w:p>
      <w:pPr>
        <w:pStyle w:val="Heading1"/>
      </w:pPr>
      <w:r>
        <w:t>Ablation and live validation</w:t>
      </w:r>
    </w:p>
    <w:p>
      <w:r>
        <w:t>Compare the candidate with fixed aging, occupancy adaptation disabled, and deadline tie-breaking disabled. Replay a subset through MQTT with a single receiver and isolated runs. Deduplicate QoS 1 deliveries by event identifier, log duplicates separately, and verify expected delivery counts. Use receiver-local timing for queue analysis; claim end-to-end latency only with a verified common clock or an explicitly validated synchronization method.</w:t>
      </w:r>
    </w:p>
    <w:p>
      <w:pPr>
        <w:pStyle w:val="Heading1"/>
        <w:pageBreakBefore/>
      </w:pPr>
      <w:r>
        <w:t>Delivery plan</w:t>
      </w:r>
    </w:p>
    <w:tbl>
      <w:tblPr>
        <w:tblW w:type="auto" w:w="0"/>
        <w:tblLayout w:type="fixed"/>
        <w:tblLook w:firstColumn="1" w:firstRow="1" w:lastColumn="0" w:lastRow="0" w:noHBand="0" w:noVBand="1" w:val="04A0"/>
      </w:tblPr>
      <w:tblGrid>
        <w:gridCol w:w="2592"/>
        <w:gridCol w:w="7344"/>
      </w:tblGrid>
      <w:tr>
        <w:trPr>
          <w:cantSplit/>
          <w:tblHeader/>
        </w:trPr>
        <w:tc>
          <w:tcPr>
            <w:tcW w:type="dxa" w:w="2592"/>
            <w:tcBorders>
              <w:top w:val="single" w:sz="4" w:color="D9D9D9"/>
              <w:left w:val="single" w:sz="4" w:color="D9D9D9"/>
              <w:bottom w:val="single" w:sz="4" w:color="D9D9D9"/>
              <w:right w:val="single" w:sz="4" w:color="D9D9D9"/>
            </w:tcBorders>
            <w:shd w:fill="E8EEF4"/>
          </w:tcPr>
          <w:p>
            <w:pPr>
              <w:spacing w:after="100" w:before="100"/>
            </w:pPr>
            <w:r>
              <w:rPr>
                <w:b/>
                <w:sz w:val="20"/>
              </w:rPr>
              <w:t>Period</w:t>
            </w:r>
          </w:p>
        </w:tc>
        <w:tc>
          <w:tcPr>
            <w:tcW w:type="dxa" w:w="7344"/>
            <w:tcBorders>
              <w:top w:val="single" w:sz="4" w:color="D9D9D9"/>
              <w:left w:val="single" w:sz="4" w:color="D9D9D9"/>
              <w:bottom w:val="single" w:sz="4" w:color="D9D9D9"/>
              <w:right w:val="single" w:sz="4" w:color="D9D9D9"/>
            </w:tcBorders>
            <w:shd w:fill="E8EEF4"/>
          </w:tcPr>
          <w:p>
            <w:pPr>
              <w:spacing w:after="100" w:before="100"/>
            </w:pPr>
            <w:r>
              <w:rPr>
                <w:b/>
                <w:sz w:val="20"/>
              </w:rPr>
              <w:t>Output and completion check</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Weeks 1 to 3</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Verify related work and define the gap. Freeze the problem and contribution boundary.</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Weeks 4 to 6</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Implement baselines, deadlines, bounded queues and metrics. Pass ordering, accounting and overload tests.</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Weeks 7 to 9</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Implement the candidate policy and run tuning experiments. Freeze evaluation settings.</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Weeks 10 to 13</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Run independent simulations, ablations and MQTT experiments. Archive reproducible evidence.</w:t>
            </w:r>
          </w:p>
        </w:tc>
      </w:tr>
      <w:tr>
        <w:trPr>
          <w:cantSplit/>
        </w:trPr>
        <w:tc>
          <w:tcPr>
            <w:tcW w:type="dxa" w:w="2592"/>
            <w:tcBorders>
              <w:top w:val="single" w:sz="4" w:color="D9D9D9"/>
              <w:left w:val="single" w:sz="4" w:color="D9D9D9"/>
              <w:bottom w:val="single" w:sz="4" w:color="D9D9D9"/>
              <w:right w:val="single" w:sz="4" w:color="D9D9D9"/>
            </w:tcBorders>
          </w:tcPr>
          <w:p>
            <w:pPr>
              <w:spacing w:after="100" w:before="100"/>
            </w:pPr>
            <w:r>
              <w:rPr>
                <w:b w:val="0"/>
                <w:sz w:val="20"/>
              </w:rPr>
              <w:t>Weeks 14 to 16</w:t>
            </w:r>
          </w:p>
        </w:tc>
        <w:tc>
          <w:tcPr>
            <w:tcW w:type="dxa" w:w="7344"/>
            <w:tcBorders>
              <w:top w:val="single" w:sz="4" w:color="D9D9D9"/>
              <w:left w:val="single" w:sz="4" w:color="D9D9D9"/>
              <w:bottom w:val="single" w:sz="4" w:color="D9D9D9"/>
              <w:right w:val="single" w:sz="4" w:color="D9D9D9"/>
            </w:tcBorders>
          </w:tcPr>
          <w:p>
            <w:pPr>
              <w:spacing w:after="100" w:before="100"/>
            </w:pPr>
            <w:r>
              <w:rPr>
                <w:b w:val="0"/>
                <w:sz w:val="20"/>
              </w:rPr>
              <w:t>Analyze results, document limitations and prepare a manuscript and release candidate.</w:t>
            </w:r>
          </w:p>
        </w:tc>
      </w:tr>
    </w:tbl>
    <w:p>
      <w:pPr>
        <w:pStyle w:val="Heading1"/>
      </w:pPr>
      <w:r>
        <w:t>Criteria for a credible paper</w:t>
      </w:r>
    </w:p>
    <w:p>
      <w:r>
        <w:t>Proceed with an improvement claim only if held-out runs show a repeatable benefit against strong baselines and disclose the urgent-versus-routine tradeoff. If the adaptive policy adds no useful benefit, report that outcome honestly and reconsider whether a sufficiently distinctive empirical finding supports submission. A dashboard or implementation alone does not establish a research contribution.</w:t>
      </w:r>
    </w:p>
    <w:p>
      <w:pPr>
        <w:pStyle w:val="Heading1"/>
      </w:pPr>
      <w:r>
        <w:t>Risks and controls</w:t>
      </w:r>
    </w:p>
    <w:p>
      <w:r>
        <w:t>Synthetic traffic may miss real device behavior; vary arrival and service assumptions and state the limits. Unjustified deadlines can distort conclusions; explain their source and test sensitivity. Low-priority starvation can remain under overload; do not claim prevention without proof. Alert severity can be spoofed; use trusted lab inputs and keep authentication or adversarial prioritization as separately scoped future work.</w:t>
      </w:r>
    </w:p>
    <w:p>
      <w:pPr>
        <w:pStyle w:val="Heading1"/>
      </w:pPr>
      <w:r>
        <w:t>Release and reuse</w:t>
      </w:r>
    </w:p>
    <w:p>
      <w:r>
        <w:t>The planned release will include installation instructions, policy definitions, workload generators, tests, experiment configurations, raw result schemas and plotting scripts. Add a suitable license and contribution guidance before presenting the repository as a reusable open-source release. Keep private data, credentials and identifiable security logs out of release artifacts. Repository visibility alone does not grant reuse rights.</w:t>
      </w:r>
    </w:p>
    <w:p>
      <w:pPr>
        <w:pStyle w:val="Heading1"/>
        <w:pageBreakBefore/>
      </w:pPr>
      <w:r>
        <w:t>Related work on priority and delivery</w:t>
      </w:r>
    </w:p>
    <w:p>
      <w:r>
        <w:t>The focused review below uses eight verified publications from 2019 to 2026. Verification concerns identity and bibliographic details; some full texts were unavailable. Abstract-based comparisons are explicitly limited. This is not a systematic review or a ranking of publication venues.</w:t>
      </w:r>
    </w:p>
    <w:tbl>
      <w:tblPr>
        <w:tblW w:type="auto" w:w="0"/>
        <w:tblLayout w:type="fixed"/>
        <w:tblLook w:firstColumn="1" w:firstRow="1" w:lastColumn="0" w:lastRow="0" w:noHBand="0" w:noVBand="1" w:val="04A0"/>
      </w:tblPr>
      <w:tblGrid>
        <w:gridCol w:w="936"/>
        <w:gridCol w:w="3240"/>
        <w:gridCol w:w="5760"/>
      </w:tblGrid>
      <w:tr>
        <w:trPr>
          <w:cantSplit/>
          <w:tblHeader/>
        </w:trPr>
        <w:tc>
          <w:tcPr>
            <w:tcW w:type="dxa" w:w="936"/>
            <w:tcBorders>
              <w:top w:val="single" w:color="D9D9D9" w:sz="4"/>
              <w:bottom w:val="single" w:color="D9D9D9" w:sz="4"/>
              <w:left w:val="single" w:color="D9D9D9" w:sz="4"/>
              <w:right w:val="single" w:color="D9D9D9" w:sz="4"/>
            </w:tcBorders>
            <w:shd w:fill="E8EEF4"/>
          </w:tcPr>
          <w:p>
            <w:pPr>
              <w:spacing w:before="100" w:after="100"/>
            </w:pPr>
            <w:r>
              <w:rPr>
                <w:b/>
                <w:sz w:val="20"/>
              </w:rPr>
              <w:t>Study</w:t>
            </w:r>
          </w:p>
        </w:tc>
        <w:tc>
          <w:tcPr>
            <w:tcW w:type="dxa" w:w="3240"/>
            <w:tcBorders>
              <w:top w:val="single" w:color="D9D9D9" w:sz="4"/>
              <w:bottom w:val="single" w:color="D9D9D9" w:sz="4"/>
              <w:left w:val="single" w:color="D9D9D9" w:sz="4"/>
              <w:right w:val="single" w:color="D9D9D9" w:sz="4"/>
            </w:tcBorders>
            <w:shd w:fill="E8EEF4"/>
          </w:tcPr>
          <w:p>
            <w:pPr>
              <w:spacing w:before="100" w:after="100"/>
            </w:pPr>
            <w:r>
              <w:rPr>
                <w:b/>
                <w:sz w:val="20"/>
              </w:rPr>
              <w:t>Established approach</w:t>
            </w:r>
          </w:p>
        </w:tc>
        <w:tc>
          <w:tcPr>
            <w:tcW w:type="dxa" w:w="5760"/>
            <w:tcBorders>
              <w:top w:val="single" w:color="D9D9D9" w:sz="4"/>
              <w:bottom w:val="single" w:color="D9D9D9" w:sz="4"/>
              <w:left w:val="single" w:color="D9D9D9" w:sz="4"/>
              <w:right w:val="single" w:color="D9D9D9" w:sz="4"/>
            </w:tcBorders>
            <w:shd w:fill="E8EEF4"/>
          </w:tcPr>
          <w:p>
            <w:pPr>
              <w:spacing w:before="100" w:after="100"/>
            </w:pPr>
            <w:r>
              <w:rPr>
                <w:b/>
                <w:sz w:val="20"/>
              </w:rPr>
              <w:t>Implication for this project</w:t>
            </w:r>
          </w:p>
        </w:tc>
      </w:tr>
      <w:tr>
        <w:trPr>
          <w:cantSplit/>
        </w:trPr>
        <w:tc>
          <w:tcPr>
            <w:tcW w:type="dxa" w:w="936"/>
            <w:tcBorders>
              <w:top w:val="single" w:color="D9D9D9" w:sz="4"/>
              <w:bottom w:val="single" w:color="D9D9D9" w:sz="4"/>
              <w:left w:val="single" w:color="D9D9D9" w:sz="4"/>
              <w:right w:val="single" w:color="D9D9D9" w:sz="4"/>
            </w:tcBorders>
          </w:tcPr>
          <w:p>
            <w:pPr>
              <w:spacing w:before="100" w:after="100"/>
            </w:pPr>
            <w:r>
              <w:rPr>
                <w:b w:val="0"/>
                <w:sz w:val="20"/>
              </w:rPr>
              <w:t>R1 2024</w:t>
            </w:r>
          </w:p>
        </w:tc>
        <w:tc>
          <w:tcPr>
            <w:tcW w:type="dxa" w:w="3240"/>
            <w:tcBorders>
              <w:top w:val="single" w:color="D9D9D9" w:sz="4"/>
              <w:bottom w:val="single" w:color="D9D9D9" w:sz="4"/>
              <w:left w:val="single" w:color="D9D9D9" w:sz="4"/>
              <w:right w:val="single" w:color="D9D9D9" w:sz="4"/>
            </w:tcBorders>
          </w:tcPr>
          <w:p>
            <w:pPr>
              <w:spacing w:before="100" w:after="100"/>
            </w:pPr>
            <w:r>
              <w:rPr>
                <w:b w:val="0"/>
                <w:sz w:val="20"/>
              </w:rPr>
              <w:t>Prioritizes time-critical traffic using a UDP-based MQTT extension.</w:t>
            </w:r>
          </w:p>
        </w:tc>
        <w:tc>
          <w:tcPr>
            <w:tcW w:type="dxa" w:w="5760"/>
            <w:tcBorders>
              <w:top w:val="single" w:color="D9D9D9" w:sz="4"/>
              <w:bottom w:val="single" w:color="D9D9D9" w:sz="4"/>
              <w:left w:val="single" w:color="D9D9D9" w:sz="4"/>
              <w:right w:val="single" w:color="D9D9D9" w:sz="4"/>
            </w:tcBorders>
          </w:tcPr>
          <w:p>
            <w:pPr>
              <w:spacing w:before="100" w:after="100"/>
            </w:pPr>
            <w:r>
              <w:rPr>
                <w:b w:val="0"/>
                <w:sz w:val="20"/>
              </w:rPr>
              <w:t>Transport and protocol intervention; our queue is after delivery. No direct performance comparison is valid without matching the network model.</w:t>
            </w:r>
          </w:p>
        </w:tc>
      </w:tr>
      <w:tr>
        <w:trPr>
          <w:cantSplit/>
        </w:trPr>
        <w:tc>
          <w:tcPr>
            <w:tcW w:type="dxa" w:w="936"/>
            <w:tcBorders>
              <w:top w:val="single" w:color="D9D9D9" w:sz="4"/>
              <w:bottom w:val="single" w:color="D9D9D9" w:sz="4"/>
              <w:left w:val="single" w:color="D9D9D9" w:sz="4"/>
              <w:right w:val="single" w:color="D9D9D9" w:sz="4"/>
            </w:tcBorders>
          </w:tcPr>
          <w:p>
            <w:pPr>
              <w:spacing w:before="100" w:after="100"/>
            </w:pPr>
            <w:r>
              <w:rPr>
                <w:b w:val="0"/>
                <w:sz w:val="20"/>
              </w:rPr>
              <w:t>R2 2024</w:t>
            </w:r>
          </w:p>
        </w:tc>
        <w:tc>
          <w:tcPr>
            <w:tcW w:type="dxa" w:w="3240"/>
            <w:tcBorders>
              <w:top w:val="single" w:color="D9D9D9" w:sz="4"/>
              <w:bottom w:val="single" w:color="D9D9D9" w:sz="4"/>
              <w:left w:val="single" w:color="D9D9D9" w:sz="4"/>
              <w:right w:val="single" w:color="D9D9D9" w:sz="4"/>
            </w:tcBorders>
          </w:tcPr>
          <w:p>
            <w:pPr>
              <w:spacing w:before="100" w:after="100"/>
            </w:pPr>
            <w:r>
              <w:rPr>
                <w:b w:val="0"/>
                <w:sz w:val="20"/>
              </w:rPr>
              <w:t>RabbitMQ virtual queues distinguish urgent, critical and FCFS messages.</w:t>
            </w:r>
          </w:p>
        </w:tc>
        <w:tc>
          <w:tcPr>
            <w:tcW w:type="dxa" w:w="5760"/>
            <w:tcBorders>
              <w:top w:val="single" w:color="D9D9D9" w:sz="4"/>
              <w:bottom w:val="single" w:color="D9D9D9" w:sz="4"/>
              <w:left w:val="single" w:color="D9D9D9" w:sz="4"/>
              <w:right w:val="single" w:color="D9D9D9" w:sz="4"/>
            </w:tcBorders>
          </w:tcPr>
          <w:p>
            <w:pPr>
              <w:spacing w:before="100" w:after="100"/>
            </w:pPr>
            <w:r>
              <w:rPr>
                <w:b w:val="0"/>
                <w:sz w:val="20"/>
              </w:rPr>
              <w:t>Shows that emergency priority queues already exist. We will examine routine waiting and repeated overload rather than claim priority support itself as new.</w:t>
            </w:r>
          </w:p>
        </w:tc>
      </w:tr>
      <w:tr>
        <w:trPr>
          <w:cantSplit/>
        </w:trPr>
        <w:tc>
          <w:tcPr>
            <w:tcW w:type="dxa" w:w="936"/>
            <w:tcBorders>
              <w:top w:val="single" w:color="D9D9D9" w:sz="4"/>
              <w:bottom w:val="single" w:color="D9D9D9" w:sz="4"/>
              <w:left w:val="single" w:color="D9D9D9" w:sz="4"/>
              <w:right w:val="single" w:color="D9D9D9" w:sz="4"/>
            </w:tcBorders>
          </w:tcPr>
          <w:p>
            <w:pPr>
              <w:spacing w:before="100" w:after="100"/>
            </w:pPr>
            <w:r>
              <w:rPr>
                <w:b w:val="0"/>
                <w:sz w:val="20"/>
              </w:rPr>
              <w:t>R3 2024</w:t>
            </w:r>
          </w:p>
        </w:tc>
        <w:tc>
          <w:tcPr>
            <w:tcW w:type="dxa" w:w="3240"/>
            <w:tcBorders>
              <w:top w:val="single" w:color="D9D9D9" w:sz="4"/>
              <w:bottom w:val="single" w:color="D9D9D9" w:sz="4"/>
              <w:left w:val="single" w:color="D9D9D9" w:sz="4"/>
              <w:right w:val="single" w:color="D9D9D9" w:sz="4"/>
            </w:tcBorders>
          </w:tcPr>
          <w:p>
            <w:pPr>
              <w:spacing w:before="100" w:after="100"/>
            </w:pPr>
            <w:r>
              <w:rPr>
                <w:b w:val="0"/>
                <w:sz w:val="20"/>
              </w:rPr>
              <w:t>Combines selective transmission and urgent-message processing in HBMQTT.</w:t>
            </w:r>
          </w:p>
        </w:tc>
        <w:tc>
          <w:tcPr>
            <w:tcW w:type="dxa" w:w="5760"/>
            <w:tcBorders>
              <w:top w:val="single" w:color="D9D9D9" w:sz="4"/>
              <w:bottom w:val="single" w:color="D9D9D9" w:sz="4"/>
              <w:left w:val="single" w:color="D9D9D9" w:sz="4"/>
              <w:right w:val="single" w:color="D9D9D9" w:sz="4"/>
            </w:tcBorders>
          </w:tcPr>
          <w:p>
            <w:pPr>
              <w:spacing w:before="100" w:after="100"/>
            </w:pPr>
            <w:r>
              <w:rPr>
                <w:b w:val="0"/>
                <w:sz w:val="20"/>
              </w:rPr>
              <w:t>Traffic suppression changes the offered workload; our initial comparisons keep identical input traces. Full text is needed before making absence claims.</w:t>
            </w:r>
          </w:p>
        </w:tc>
      </w:tr>
      <w:tr>
        <w:trPr>
          <w:cantSplit/>
        </w:trPr>
        <w:tc>
          <w:tcPr>
            <w:tcW w:type="dxa" w:w="936"/>
            <w:tcBorders>
              <w:top w:val="single" w:color="D9D9D9" w:sz="4"/>
              <w:bottom w:val="single" w:color="D9D9D9" w:sz="4"/>
              <w:left w:val="single" w:color="D9D9D9" w:sz="4"/>
              <w:right w:val="single" w:color="D9D9D9" w:sz="4"/>
            </w:tcBorders>
          </w:tcPr>
          <w:p>
            <w:pPr>
              <w:spacing w:before="100" w:after="100"/>
            </w:pPr>
            <w:r>
              <w:rPr>
                <w:b w:val="0"/>
                <w:sz w:val="20"/>
              </w:rPr>
              <w:t>R4 2024</w:t>
            </w:r>
          </w:p>
        </w:tc>
        <w:tc>
          <w:tcPr>
            <w:tcW w:type="dxa" w:w="3240"/>
            <w:tcBorders>
              <w:top w:val="single" w:color="D9D9D9" w:sz="4"/>
              <w:bottom w:val="single" w:color="D9D9D9" w:sz="4"/>
              <w:left w:val="single" w:color="D9D9D9" w:sz="4"/>
              <w:right w:val="single" w:color="D9D9D9" w:sz="4"/>
            </w:tcBorders>
          </w:tcPr>
          <w:p>
            <w:pPr>
              <w:spacing w:before="100" w:after="100"/>
            </w:pPr>
            <w:r>
              <w:rPr>
                <w:b w:val="0"/>
                <w:sz w:val="20"/>
              </w:rPr>
              <w:t>Explores integrating PrioMQTT with TSN for traffic with diverse timing needs.</w:t>
            </w:r>
          </w:p>
        </w:tc>
        <w:tc>
          <w:tcPr>
            <w:tcW w:type="dxa" w:w="5760"/>
            <w:tcBorders>
              <w:top w:val="single" w:color="D9D9D9" w:sz="4"/>
              <w:bottom w:val="single" w:color="D9D9D9" w:sz="4"/>
              <w:left w:val="single" w:color="D9D9D9" w:sz="4"/>
              <w:right w:val="single" w:color="D9D9D9" w:sz="4"/>
            </w:tcBorders>
          </w:tcPr>
          <w:p>
            <w:pPr>
              <w:spacing w:before="100" w:after="100"/>
            </w:pPr>
            <w:r>
              <w:rPr>
                <w:b w:val="0"/>
                <w:sz w:val="20"/>
              </w:rPr>
              <w:t>Network support matters for timing bounds. We make no network-level deadline guarantee from an application queue.</w:t>
            </w:r>
          </w:p>
        </w:tc>
      </w:tr>
    </w:tbl>
    <w:p>
      <w:pPr>
        <w:spacing w:after="40"/>
      </w:pPr>
    </w:p>
    <w:p>
      <w:pPr>
        <w:pStyle w:val="Heading2"/>
      </w:pPr>
      <w:r>
        <w:t>What is already established</w:t>
      </w:r>
    </w:p>
    <w:p>
      <w:r>
        <w:t>Priority MQTT, separate urgency queues and low-delay delivery are existing research directions. R1 changes transport behavior, R2 uses virtual urgency queues, R3 combines prioritization with traffic reduction, and R4 considers TSN integration. A project that only adds priority to MQTT would overlap these directions.</w:t>
      </w:r>
    </w:p>
    <w:p>
      <w:pPr>
        <w:pStyle w:val="Heading2"/>
      </w:pPr>
      <w:r>
        <w:t>Evidence limits</w:t>
      </w:r>
    </w:p>
    <w:p>
      <w:r>
        <w:t>R2 was reviewed in full publisher text. R1 and R3 comparisons rely on publisher abstracts and metadata; R4 uses the publisher abstract and indexed author text. These records support the stated approach, not broad claims about every experiment or missing feature. Detailed verification notes and official links are in docs/related-work.md.</w:t>
      </w:r>
    </w:p>
    <w:p>
      <w:pPr>
        <w:pStyle w:val="Heading1"/>
        <w:pageBreakBefore/>
      </w:pPr>
      <w:r>
        <w:t>Related work on timing and fairness</w:t>
      </w:r>
    </w:p>
    <w:tbl>
      <w:tblPr>
        <w:tblW w:type="auto" w:w="0"/>
        <w:tblLayout w:type="fixed"/>
        <w:tblLook w:firstColumn="1" w:firstRow="1" w:lastColumn="0" w:lastRow="0" w:noHBand="0" w:noVBand="1" w:val="04A0"/>
      </w:tblPr>
      <w:tblGrid>
        <w:gridCol w:w="936"/>
        <w:gridCol w:w="3240"/>
        <w:gridCol w:w="5760"/>
      </w:tblGrid>
      <w:tr>
        <w:trPr>
          <w:cantSplit/>
          <w:tblHeader/>
        </w:trPr>
        <w:tc>
          <w:tcPr>
            <w:tcW w:type="dxa" w:w="936"/>
            <w:tcBorders>
              <w:top w:val="single" w:color="D9D9D9" w:sz="4"/>
              <w:bottom w:val="single" w:color="D9D9D9" w:sz="4"/>
              <w:left w:val="single" w:color="D9D9D9" w:sz="4"/>
              <w:right w:val="single" w:color="D9D9D9" w:sz="4"/>
            </w:tcBorders>
            <w:shd w:fill="E8EEF4"/>
          </w:tcPr>
          <w:p>
            <w:pPr>
              <w:spacing w:before="100" w:after="100"/>
            </w:pPr>
            <w:r>
              <w:rPr>
                <w:b/>
                <w:sz w:val="20"/>
              </w:rPr>
              <w:t>Study</w:t>
            </w:r>
          </w:p>
        </w:tc>
        <w:tc>
          <w:tcPr>
            <w:tcW w:type="dxa" w:w="3240"/>
            <w:tcBorders>
              <w:top w:val="single" w:color="D9D9D9" w:sz="4"/>
              <w:bottom w:val="single" w:color="D9D9D9" w:sz="4"/>
              <w:left w:val="single" w:color="D9D9D9" w:sz="4"/>
              <w:right w:val="single" w:color="D9D9D9" w:sz="4"/>
            </w:tcBorders>
            <w:shd w:fill="E8EEF4"/>
          </w:tcPr>
          <w:p>
            <w:pPr>
              <w:spacing w:before="100" w:after="100"/>
            </w:pPr>
            <w:r>
              <w:rPr>
                <w:b/>
                <w:sz w:val="20"/>
              </w:rPr>
              <w:t>Established approach</w:t>
            </w:r>
          </w:p>
        </w:tc>
        <w:tc>
          <w:tcPr>
            <w:tcW w:type="dxa" w:w="5760"/>
            <w:tcBorders>
              <w:top w:val="single" w:color="D9D9D9" w:sz="4"/>
              <w:bottom w:val="single" w:color="D9D9D9" w:sz="4"/>
              <w:left w:val="single" w:color="D9D9D9" w:sz="4"/>
              <w:right w:val="single" w:color="D9D9D9" w:sz="4"/>
            </w:tcBorders>
            <w:shd w:fill="E8EEF4"/>
          </w:tcPr>
          <w:p>
            <w:pPr>
              <w:spacing w:before="100" w:after="100"/>
            </w:pPr>
            <w:r>
              <w:rPr>
                <w:b/>
                <w:sz w:val="20"/>
              </w:rPr>
              <w:t>Implication for this project</w:t>
            </w:r>
          </w:p>
        </w:tc>
      </w:tr>
      <w:tr>
        <w:trPr>
          <w:cantSplit/>
        </w:trPr>
        <w:tc>
          <w:tcPr>
            <w:tcW w:type="dxa" w:w="936"/>
            <w:tcBorders>
              <w:top w:val="single" w:color="D9D9D9" w:sz="4"/>
              <w:bottom w:val="single" w:color="D9D9D9" w:sz="4"/>
              <w:left w:val="single" w:color="D9D9D9" w:sz="4"/>
              <w:right w:val="single" w:color="D9D9D9" w:sz="4"/>
            </w:tcBorders>
          </w:tcPr>
          <w:p>
            <w:pPr>
              <w:spacing w:before="100" w:after="100"/>
            </w:pPr>
            <w:r>
              <w:rPr>
                <w:b w:val="0"/>
                <w:sz w:val="20"/>
              </w:rPr>
              <w:t>R5 2022</w:t>
            </w:r>
          </w:p>
        </w:tc>
        <w:tc>
          <w:tcPr>
            <w:tcW w:type="dxa" w:w="3240"/>
            <w:tcBorders>
              <w:top w:val="single" w:color="D9D9D9" w:sz="4"/>
              <w:bottom w:val="single" w:color="D9D9D9" w:sz="4"/>
              <w:left w:val="single" w:color="D9D9D9" w:sz="4"/>
              <w:right w:val="single" w:color="D9D9D9" w:sz="4"/>
            </w:tcBorders>
          </w:tcPr>
          <w:p>
            <w:pPr>
              <w:spacing w:before="100" w:after="100"/>
            </w:pPr>
            <w:r>
              <w:rPr>
                <w:b w:val="0"/>
                <w:sz w:val="20"/>
              </w:rPr>
              <w:t>Maps application timing requirements to SDN resource reservations.</w:t>
            </w:r>
          </w:p>
        </w:tc>
        <w:tc>
          <w:tcPr>
            <w:tcW w:type="dxa" w:w="5760"/>
            <w:tcBorders>
              <w:top w:val="single" w:color="D9D9D9" w:sz="4"/>
              <w:bottom w:val="single" w:color="D9D9D9" w:sz="4"/>
              <w:left w:val="single" w:color="D9D9D9" w:sz="4"/>
              <w:right w:val="single" w:color="D9D9D9" w:sz="4"/>
            </w:tcBorders>
          </w:tcPr>
          <w:p>
            <w:pPr>
              <w:spacing w:before="100" w:after="100"/>
            </w:pPr>
            <w:r>
              <w:rPr>
                <w:b w:val="0"/>
                <w:sz w:val="20"/>
              </w:rPr>
              <w:t>A broader architecture than our worker queue. Its treatment of ordinary-traffic cost motivates reporting both event classes.</w:t>
            </w:r>
          </w:p>
        </w:tc>
      </w:tr>
      <w:tr>
        <w:trPr>
          <w:cantSplit/>
        </w:trPr>
        <w:tc>
          <w:tcPr>
            <w:tcW w:type="dxa" w:w="936"/>
            <w:tcBorders>
              <w:top w:val="single" w:color="D9D9D9" w:sz="4"/>
              <w:bottom w:val="single" w:color="D9D9D9" w:sz="4"/>
              <w:left w:val="single" w:color="D9D9D9" w:sz="4"/>
              <w:right w:val="single" w:color="D9D9D9" w:sz="4"/>
            </w:tcBorders>
          </w:tcPr>
          <w:p>
            <w:pPr>
              <w:spacing w:before="100" w:after="100"/>
            </w:pPr>
            <w:r>
              <w:rPr>
                <w:b w:val="0"/>
                <w:sz w:val="20"/>
              </w:rPr>
              <w:t>R6 2023</w:t>
            </w:r>
          </w:p>
        </w:tc>
        <w:tc>
          <w:tcPr>
            <w:tcW w:type="dxa" w:w="3240"/>
            <w:tcBorders>
              <w:top w:val="single" w:color="D9D9D9" w:sz="4"/>
              <w:bottom w:val="single" w:color="D9D9D9" w:sz="4"/>
              <w:left w:val="single" w:color="D9D9D9" w:sz="4"/>
              <w:right w:val="single" w:color="D9D9D9" w:sz="4"/>
            </w:tcBorders>
          </w:tcPr>
          <w:p>
            <w:pPr>
              <w:spacing w:before="100" w:after="100"/>
            </w:pPr>
            <w:r>
              <w:rPr>
                <w:b w:val="0"/>
                <w:sz w:val="20"/>
              </w:rPr>
              <w:t>Derives worst-case response-time analysis for an SDN-based MQTT architecture.</w:t>
            </w:r>
          </w:p>
        </w:tc>
        <w:tc>
          <w:tcPr>
            <w:tcW w:type="dxa" w:w="5760"/>
            <w:tcBorders>
              <w:top w:val="single" w:color="D9D9D9" w:sz="4"/>
              <w:bottom w:val="single" w:color="D9D9D9" w:sz="4"/>
              <w:left w:val="single" w:color="D9D9D9" w:sz="4"/>
              <w:right w:val="single" w:color="D9D9D9" w:sz="4"/>
            </w:tcBorders>
          </w:tcPr>
          <w:p>
            <w:pPr>
              <w:spacing w:before="100" w:after="100"/>
            </w:pPr>
            <w:r>
              <w:rPr>
                <w:b w:val="0"/>
                <w:sz w:val="20"/>
              </w:rPr>
              <w:t>A formal guarantee requires an explicit analyzable model. Our initial results are empirical finite-workload measurements.</w:t>
            </w:r>
          </w:p>
        </w:tc>
      </w:tr>
      <w:tr>
        <w:trPr>
          <w:cantSplit/>
        </w:trPr>
        <w:tc>
          <w:tcPr>
            <w:tcW w:type="dxa" w:w="936"/>
            <w:tcBorders>
              <w:top w:val="single" w:color="D9D9D9" w:sz="4"/>
              <w:bottom w:val="single" w:color="D9D9D9" w:sz="4"/>
              <w:left w:val="single" w:color="D9D9D9" w:sz="4"/>
              <w:right w:val="single" w:color="D9D9D9" w:sz="4"/>
            </w:tcBorders>
          </w:tcPr>
          <w:p>
            <w:pPr>
              <w:spacing w:before="100" w:after="100"/>
            </w:pPr>
            <w:r>
              <w:rPr>
                <w:b w:val="0"/>
                <w:sz w:val="20"/>
              </w:rPr>
              <w:t>R7 2019</w:t>
            </w:r>
          </w:p>
        </w:tc>
        <w:tc>
          <w:tcPr>
            <w:tcW w:type="dxa" w:w="3240"/>
            <w:tcBorders>
              <w:top w:val="single" w:color="D9D9D9" w:sz="4"/>
              <w:bottom w:val="single" w:color="D9D9D9" w:sz="4"/>
              <w:left w:val="single" w:color="D9D9D9" w:sz="4"/>
              <w:right w:val="single" w:color="D9D9D9" w:sz="4"/>
            </w:tcBorders>
          </w:tcPr>
          <w:p>
            <w:pPr>
              <w:spacing w:before="100" w:after="100"/>
            </w:pPr>
            <w:r>
              <w:rPr>
                <w:b w:val="0"/>
                <w:sz w:val="20"/>
              </w:rPr>
              <w:t>Modifies Mosquitto for urgent message delivery.</w:t>
            </w:r>
          </w:p>
        </w:tc>
        <w:tc>
          <w:tcPr>
            <w:tcW w:type="dxa" w:w="5760"/>
            <w:tcBorders>
              <w:top w:val="single" w:color="D9D9D9" w:sz="4"/>
              <w:bottom w:val="single" w:color="D9D9D9" w:sz="4"/>
              <w:left w:val="single" w:color="D9D9D9" w:sz="4"/>
              <w:right w:val="single" w:color="D9D9D9" w:sz="4"/>
            </w:tcBorders>
          </w:tcPr>
          <w:p>
            <w:pPr>
              <w:spacing w:before="100" w:after="100"/>
            </w:pPr>
            <w:r>
              <w:rPr>
                <w:b w:val="0"/>
                <w:sz w:val="20"/>
              </w:rPr>
              <w:t>Prior art for broker-level urgency. Detailed algorithm and evaluation limitations remain unassessed because full text was unavailable.</w:t>
            </w:r>
          </w:p>
        </w:tc>
      </w:tr>
      <w:tr>
        <w:trPr>
          <w:cantSplit/>
        </w:trPr>
        <w:tc>
          <w:tcPr>
            <w:tcW w:type="dxa" w:w="936"/>
            <w:tcBorders>
              <w:top w:val="single" w:color="D9D9D9" w:sz="4"/>
              <w:bottom w:val="single" w:color="D9D9D9" w:sz="4"/>
              <w:left w:val="single" w:color="D9D9D9" w:sz="4"/>
              <w:right w:val="single" w:color="D9D9D9" w:sz="4"/>
            </w:tcBorders>
          </w:tcPr>
          <w:p>
            <w:pPr>
              <w:spacing w:before="100" w:after="100"/>
            </w:pPr>
            <w:r>
              <w:rPr>
                <w:b w:val="0"/>
                <w:sz w:val="20"/>
              </w:rPr>
              <w:t>R8 2026</w:t>
            </w:r>
          </w:p>
        </w:tc>
        <w:tc>
          <w:tcPr>
            <w:tcW w:type="dxa" w:w="3240"/>
            <w:tcBorders>
              <w:top w:val="single" w:color="D9D9D9" w:sz="4"/>
              <w:bottom w:val="single" w:color="D9D9D9" w:sz="4"/>
              <w:left w:val="single" w:color="D9D9D9" w:sz="4"/>
              <w:right w:val="single" w:color="D9D9D9" w:sz="4"/>
            </w:tcBorders>
          </w:tcPr>
          <w:p>
            <w:pPr>
              <w:spacing w:before="100" w:after="100"/>
            </w:pPr>
            <w:r>
              <w:rPr>
                <w:b w:val="0"/>
                <w:sz w:val="20"/>
              </w:rPr>
              <w:t>TRIAGE/4 combines semantic alarm priority and device fairness with simulation and an MQTT prototype.</w:t>
            </w:r>
          </w:p>
        </w:tc>
        <w:tc>
          <w:tcPr>
            <w:tcW w:type="dxa" w:w="5760"/>
            <w:tcBorders>
              <w:top w:val="single" w:color="D9D9D9" w:sz="4"/>
              <w:bottom w:val="single" w:color="D9D9D9" w:sz="4"/>
              <w:left w:val="single" w:color="D9D9D9" w:sz="4"/>
              <w:right w:val="single" w:color="D9D9D9" w:sz="4"/>
            </w:tcBorders>
          </w:tcPr>
          <w:p>
            <w:pPr>
              <w:spacing w:before="100" w:after="100"/>
            </w:pPr>
            <w:r>
              <w:rPr>
                <w:b w:val="0"/>
                <w:sz w:val="20"/>
              </w:rPr>
              <w:t>Closest conceptual overlap: alarm latency and fairness are already studied. Any novelty claim needs a full comparison with this method, not just FIFO and strict priority.</w:t>
            </w:r>
          </w:p>
        </w:tc>
      </w:tr>
    </w:tbl>
    <w:p>
      <w:pPr>
        <w:spacing w:after="40"/>
      </w:pPr>
    </w:p>
    <w:p>
      <w:pPr>
        <w:pStyle w:val="Heading2"/>
      </w:pPr>
      <w:r>
        <w:t>Candidate gap and design decision</w:t>
      </w:r>
    </w:p>
    <w:p>
      <w:r>
        <w:t>For a bounded, non-preemptive worker after MQTT delivery, we will test whether occupancy-dependent aging improves the urgent-deadline versus routine-waiting tradeoff beyond tuned fixed aging and EDF, including dispatch overhead and lost work. This is a candidate empirical gap, not proof of absence in prior work.</w:t>
      </w:r>
    </w:p>
    <w:p>
      <w:r>
        <w:t>R8 is the closest conceptual overlap because it already combines alarm priority and fairness. Obtain its full algorithm, then reproduce a relevant policy or justify why its model is incompatible with this queue. Consider a fair-share baseline if device monopolization is studied. If the candidate remains only a rearrangement of existing ideas, redesign the contribution or pursue a distinct empirical finding.</w:t>
      </w:r>
    </w:p>
    <w:p>
      <w:r>
        <w:t>R5 was read as a full author article in PMC; R6 was checked through its publisher record and abstract. R7 is a bibliographic prior-art check, not a full methodological appraisal. R8 uses its publisher abstract and author publication list. No absence claim is made from inaccessible text.</w:t>
      </w:r>
    </w:p>
    <w:p>
      <w:pPr>
        <w:pStyle w:val="Heading1"/>
        <w:pageBreakBefore/>
      </w:pPr>
      <w:r>
        <w:t>Baseline pilot and observed tradeoffs</w:t>
      </w:r>
    </w:p>
    <w:p>
      <w:r>
        <w:t>A completed pilot compared FIFO, strict priority and fixed aging using ten paired seeds, 1000 events per trace and arrival rates of 50, 90 and 120 events/s. This yields 90 policy runs and 90000 completed event records. Service is constant at 10 ms; aging promotes one class per 100 ms. Each queue is unbounded and drains after arrivals stop. No candidate adaptive method was tested.</w:t>
      </w:r>
    </w:p>
    <w:tbl>
      <w:tblPr>
        <w:tblW w:type="auto" w:w="0"/>
        <w:tblLayout w:type="fixed"/>
        <w:tblLook w:firstColumn="1" w:firstRow="1" w:lastColumn="0" w:lastRow="0" w:noHBand="0" w:noVBand="1" w:val="04A0"/>
      </w:tblPr>
      <w:tblGrid>
        <w:gridCol w:w="1584"/>
        <w:gridCol w:w="2448"/>
        <w:gridCol w:w="2952"/>
        <w:gridCol w:w="2952"/>
      </w:tblGrid>
      <w:tr>
        <w:trPr>
          <w:cantSplit/>
          <w:tblHeader/>
        </w:trPr>
        <w:tc>
          <w:tcPr>
            <w:tcW w:type="dxa" w:w="1584"/>
            <w:tcBorders>
              <w:top w:val="single" w:color="D9D9D9" w:sz="4"/>
              <w:bottom w:val="single" w:color="D9D9D9" w:sz="4"/>
              <w:left w:val="single" w:color="D9D9D9" w:sz="4"/>
              <w:right w:val="single" w:color="D9D9D9" w:sz="4"/>
            </w:tcBorders>
            <w:shd w:fill="E8EEF4"/>
          </w:tcPr>
          <w:p>
            <w:pPr>
              <w:spacing w:before="100" w:after="100"/>
            </w:pPr>
            <w:r>
              <w:rPr>
                <w:b/>
                <w:sz w:val="20"/>
              </w:rPr>
              <w:t>Events per s</w:t>
            </w:r>
          </w:p>
        </w:tc>
        <w:tc>
          <w:tcPr>
            <w:tcW w:type="dxa" w:w="2448"/>
            <w:tcBorders>
              <w:top w:val="single" w:color="D9D9D9" w:sz="4"/>
              <w:bottom w:val="single" w:color="D9D9D9" w:sz="4"/>
              <w:left w:val="single" w:color="D9D9D9" w:sz="4"/>
              <w:right w:val="single" w:color="D9D9D9" w:sz="4"/>
            </w:tcBorders>
            <w:shd w:fill="E8EEF4"/>
          </w:tcPr>
          <w:p>
            <w:pPr>
              <w:spacing w:before="100" w:after="100"/>
            </w:pPr>
            <w:r>
              <w:rPr>
                <w:b/>
                <w:sz w:val="20"/>
              </w:rPr>
              <w:t>Policy</w:t>
            </w:r>
          </w:p>
        </w:tc>
        <w:tc>
          <w:tcPr>
            <w:tcW w:type="dxa" w:w="2952"/>
            <w:tcBorders>
              <w:top w:val="single" w:color="D9D9D9" w:sz="4"/>
              <w:bottom w:val="single" w:color="D9D9D9" w:sz="4"/>
              <w:left w:val="single" w:color="D9D9D9" w:sz="4"/>
              <w:right w:val="single" w:color="D9D9D9" w:sz="4"/>
            </w:tcBorders>
            <w:shd w:fill="E8EEF4"/>
          </w:tcPr>
          <w:p>
            <w:pPr>
              <w:spacing w:before="100" w:after="100"/>
            </w:pPr>
            <w:r>
              <w:rPr>
                <w:b/>
                <w:sz w:val="20"/>
              </w:rPr>
              <w:t>High p95 ms</w:t>
            </w:r>
          </w:p>
        </w:tc>
        <w:tc>
          <w:tcPr>
            <w:tcW w:type="dxa" w:w="2952"/>
            <w:tcBorders>
              <w:top w:val="single" w:color="D9D9D9" w:sz="4"/>
              <w:bottom w:val="single" w:color="D9D9D9" w:sz="4"/>
              <w:left w:val="single" w:color="D9D9D9" w:sz="4"/>
              <w:right w:val="single" w:color="D9D9D9" w:sz="4"/>
            </w:tcBorders>
            <w:shd w:fill="E8EEF4"/>
          </w:tcPr>
          <w:p>
            <w:pPr>
              <w:spacing w:before="100" w:after="100"/>
            </w:pPr>
            <w:r>
              <w:rPr>
                <w:b/>
                <w:sz w:val="20"/>
              </w:rPr>
              <w:t>Low p95 ms</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50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fifo</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29.43</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30.53</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50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priority</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19.35</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35.51</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50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aging</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19.35</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35.51</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90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fifo</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116.41</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118.68</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90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priority</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21.11</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160.49</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90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aging</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28.61</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140.37</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120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fifo</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1568.02</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1604.50</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120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priority</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22.67</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1921.62</w:t>
            </w:r>
          </w:p>
        </w:tc>
      </w:tr>
      <w:tr>
        <w:trPr>
          <w:cantSplit/>
        </w:trPr>
        <w:tc>
          <w:tcPr>
            <w:tcW w:type="dxa" w:w="1584"/>
            <w:tcBorders>
              <w:top w:val="single" w:color="D9D9D9" w:sz="4"/>
              <w:bottom w:val="single" w:color="D9D9D9" w:sz="4"/>
              <w:left w:val="single" w:color="D9D9D9" w:sz="4"/>
              <w:right w:val="single" w:color="D9D9D9" w:sz="4"/>
            </w:tcBorders>
          </w:tcPr>
          <w:p>
            <w:pPr>
              <w:spacing w:before="100" w:after="100"/>
            </w:pPr>
            <w:r>
              <w:rPr>
                <w:b w:val="0"/>
                <w:sz w:val="20"/>
              </w:rPr>
              <w:t>120</w:t>
            </w:r>
          </w:p>
        </w:tc>
        <w:tc>
          <w:tcPr>
            <w:tcW w:type="dxa" w:w="2448"/>
            <w:tcBorders>
              <w:top w:val="single" w:color="D9D9D9" w:sz="4"/>
              <w:bottom w:val="single" w:color="D9D9D9" w:sz="4"/>
              <w:left w:val="single" w:color="D9D9D9" w:sz="4"/>
              <w:right w:val="single" w:color="D9D9D9" w:sz="4"/>
            </w:tcBorders>
          </w:tcPr>
          <w:p>
            <w:pPr>
              <w:spacing w:before="100" w:after="100"/>
            </w:pPr>
            <w:r>
              <w:rPr>
                <w:b w:val="0"/>
                <w:sz w:val="20"/>
              </w:rPr>
              <w:t>aging</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1568.02</w:t>
            </w:r>
          </w:p>
        </w:tc>
        <w:tc>
          <w:tcPr>
            <w:tcW w:type="dxa" w:w="2952"/>
            <w:tcBorders>
              <w:top w:val="single" w:color="D9D9D9" w:sz="4"/>
              <w:bottom w:val="single" w:color="D9D9D9" w:sz="4"/>
              <w:left w:val="single" w:color="D9D9D9" w:sz="4"/>
              <w:right w:val="single" w:color="D9D9D9" w:sz="4"/>
            </w:tcBorders>
          </w:tcPr>
          <w:p>
            <w:pPr>
              <w:spacing w:before="100" w:after="100"/>
            </w:pPr>
            <w:r>
              <w:rPr>
                <w:b w:val="0"/>
                <w:sz w:val="20"/>
              </w:rPr>
              <w:t>1604.50</w:t>
            </w:r>
          </w:p>
        </w:tc>
      </w:tr>
    </w:tbl>
    <w:p>
      <w:pPr>
        <w:spacing w:after="40"/>
      </w:pPr>
    </w:p>
    <w:p>
      <w:r>
        <w:t>Table values are means of ten run-level p95 estimates, not pooled percentiles. At 90 events/s, aging minus strict priority changes high p95 by +7.50 ms and low p95 by -20.13 ms. Exploratory paired bootstrap 95 percent intervals are [0.22, 20.94] ms and [-28.23, -11.78] ms respectively, based on 10000 resamples of ten seed pairs.</w:t>
      </w:r>
    </w:p>
    <w:p>
      <w:r>
        <w:t>At 120 events/s, aging loses much of the urgent-latency benefit. This result motivates testing safeguards; it does not show that the proposed adaptive rule will work. The overload case is finite, not steady state. Deadlines are illustrative. With about 100 high-class samples per run, p99 estimates are unstable. Real workloads, bounded queues and live MQTT remain unvalidated.</w:t>
      </w:r>
    </w:p>
    <w:p>
      <w:r>
        <w:t>Evidence and reproduction instructions are in evidence/pilot/. The bundle includes every run/class metric, configuration, source hashes, paired intervals and one complete compressed raw run. The runner regenerates all 90 per-event CSV files locally. No experimental result from this pilot establishes novelty.</w:t>
      </w:r>
    </w:p>
    <w:p>
      <w:pPr>
        <w:pStyle w:val="Heading1"/>
        <w:pageBreakBefore/>
      </w:pPr>
      <w:r>
        <w:t>References for priority and delivery</w:t>
      </w:r>
    </w:p>
    <w:p>
      <w:pPr>
        <w:pStyle w:val="Heading2"/>
      </w:pPr>
      <w:r>
        <w:t>R1</w:t>
      </w:r>
    </w:p>
    <w:p>
      <w:r>
        <w:t>Gaetano Patti; Luca Leonardi; Giuseppe Testa; Lucia Lo Bello. 2024. PrioMQTT: A prioritized version of the MQTT protocol. Computer Communications, 220, 43–51. Publisher: Elsevier. DOI: 10.1016/j.comcom.2024.03.018. https://doi.org/10.1016/j.comcom.2024.03.018</w:t>
      </w:r>
    </w:p>
    <w:p>
      <w:r>
        <w:t>Relevance: Prioritizes time-critical traffic using a UDP-based MQTT extension.</w:t>
      </w:r>
    </w:p>
    <w:p>
      <w:pPr>
        <w:pStyle w:val="Heading2"/>
      </w:pPr>
      <w:r>
        <w:t>R2</w:t>
      </w:r>
    </w:p>
    <w:p>
      <w:r>
        <w:t>P S Akshatha; S Divyashree; S M Dilip Kumar. 2024. Priority-enabled MQTT: a robust approach to emergency event messaging. Journal of Engineering and Applied Science, 71, article 67. Publisher: Springer Nature. DOI: 10.1186/s44147-024-00400-2. https://doi.org/10.1186/s44147-024-00400-2</w:t>
      </w:r>
    </w:p>
    <w:p>
      <w:r>
        <w:t>Relevance: RabbitMQ virtual queues distinguish urgent, critical and FCFS messages.</w:t>
      </w:r>
    </w:p>
    <w:p>
      <w:pPr>
        <w:pStyle w:val="Heading2"/>
      </w:pPr>
      <w:r>
        <w:t>R3</w:t>
      </w:r>
    </w:p>
    <w:p>
      <w:r>
        <w:t>Jiby J. Puthiyidam; Shelbi Joseph. 2024. PR-MQTT: a novel approach for traffic reduction and message prioritisation in IoT applications. International Journal of Web Engineering and Technology, 19(1), 44–66. Publisher: Inderscience. DOI: 10.1504/IJWET.2024.138096. https://doi.org/10.1504/IJWET.2024.138096</w:t>
      </w:r>
    </w:p>
    <w:p>
      <w:r>
        <w:t>Relevance: Combines selective transmission and urgent-message processing in HBMQTT.</w:t>
      </w:r>
    </w:p>
    <w:p>
      <w:pPr>
        <w:pStyle w:val="Heading2"/>
      </w:pPr>
      <w:r>
        <w:t>R4</w:t>
      </w:r>
    </w:p>
    <w:p>
      <w:r>
        <w:t>Giuseppe Testa; Luca Leonardi; Lucia Lo Bello; Gaetano Patti. 2024. Towards Integrating MQTT with Time-Sensitive Networking. 2024 IEEE 29th International Conference on Emerging Technologies and Factory Automation (ETFA). Publisher: IEEE. DOI: 10.1109/ETFA61755.2024.10710933. https://doi.org/10.1109/ETFA61755.2024.10710933</w:t>
      </w:r>
    </w:p>
    <w:p>
      <w:r>
        <w:t>Relevance: Explores integrating PrioMQTT with TSN for traffic with diverse timing needs.</w:t>
      </w:r>
    </w:p>
    <w:p>
      <w:r>
        <w:t>Complete verification links and access limitations are maintained in docs/related-work.md. Journal quartiles and indexing were not assessed. The candidate policy will be finalized only after full-text comparison with the closest studies.</w:t>
      </w:r>
    </w:p>
    <w:p>
      <w:pPr>
        <w:pStyle w:val="Heading1"/>
        <w:pageBreakBefore/>
      </w:pPr>
      <w:r>
        <w:t>References for timing and fairness</w:t>
      </w:r>
    </w:p>
    <w:p>
      <w:pPr>
        <w:pStyle w:val="Heading2"/>
      </w:pPr>
      <w:r>
        <w:t>R5</w:t>
      </w:r>
    </w:p>
    <w:p>
      <w:r>
        <w:t>Ehsan Shahri; Paulo Pedreiras; Luis Almeida. 2022. Extending MQTT with Real-Time Communication Services Based on SDN. Sensors, 22(9), article 3162. Publisher: MDPI. DOI: 10.3390/s22093162. https://doi.org/10.3390/s22093162</w:t>
      </w:r>
    </w:p>
    <w:p>
      <w:r>
        <w:t>Relevance: Maps application timing requirements to SDN resource reservations.</w:t>
      </w:r>
    </w:p>
    <w:p>
      <w:pPr>
        <w:pStyle w:val="Heading2"/>
      </w:pPr>
      <w:r>
        <w:t>R6</w:t>
      </w:r>
    </w:p>
    <w:p>
      <w:r>
        <w:t>Ehsan Shahri; Paulo Pedreiras; Luis Almeida. 2023. Response Time Analysis for RT-MQTT Protocol Grounded on SDN. Fourth Workshop on Next Generation Real-Time Embedded Systems (NG-RES 2023), OASIcs 108, 5:1–5:15. Publisher: Schloss Dagstuhl – Leibniz-Zentrum für Informatik. DOI: 10.4230/OASIcs.NG-RES.2023.5. https://doi.org/10.4230/OASIcs.NG-RES.2023.5</w:t>
      </w:r>
    </w:p>
    <w:p>
      <w:r>
        <w:t>Relevance: Derives worst-case response-time analysis for an SDN-based MQTT architecture.</w:t>
      </w:r>
    </w:p>
    <w:p>
      <w:pPr>
        <w:pStyle w:val="Heading2"/>
      </w:pPr>
      <w:r>
        <w:t>R7</w:t>
      </w:r>
    </w:p>
    <w:p>
      <w:r>
        <w:t>Kitae Hwang; Jae Moon Lee; In Hwan Jung; Dong-Hee Lee. 2019. Modification of Mosquitto Broker for Delivery of Urgent MQTT Message. 2019 IEEE Eurasia Conference on IOT, Communication and Engineering (ECICE), 166–167. Publisher: IEEE. DOI: 10.1109/ECICE47484.2019.8942800. https://doi.org/10.1109/ECICE47484.2019.8942800</w:t>
      </w:r>
    </w:p>
    <w:p>
      <w:r>
        <w:t>Relevance: Modifies Mosquitto for urgent message delivery.</w:t>
      </w:r>
    </w:p>
    <w:p>
      <w:pPr>
        <w:pStyle w:val="Heading2"/>
      </w:pPr>
      <w:r>
        <w:t>R8</w:t>
      </w:r>
    </w:p>
    <w:p>
      <w:r>
        <w:t>João Carlos N. Bittencourt; Paulo Portugal; Francisco Vasques; Daniel G. Costa. 2026. Multi-Tier Message Scheduling for IoT-Based Urban Emergency Systems Through Semantic Priority Override. IEEE Access, 14, 140988–141015. Publisher: IEEE. DOI: 10.1109/ACCESS.2026.3732592. https://doi.org/10.1109/ACCESS.2026.3732592</w:t>
      </w:r>
    </w:p>
    <w:p>
      <w:r>
        <w:t>Relevance: TRIAGE/4 combines semantic alarm priority and device fairness with simulation and an MQTT prototype.</w:t>
      </w:r>
    </w:p>
    <w:p>
      <w:r>
        <w:t>Complete verification links and access limitations are maintained in docs/related-work.md. Journal quartiles and indexing were not assessed. The candidate policy will be finalized only after full-text comparison with the closest studies.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