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3864"/>
          <w:sz w:val="52"/>
          <w:szCs w:val="52"/>
        </w:rPr>
        <w:t xml:space="preserve">遊戲文件審查報告</w:t>
      </w:r>
    </w:p>
    <w:p>
      <w:pPr>
        <w:spacing w:after="60" w:before="0"/>
        <w:jc w:val="center"/>
      </w:pPr>
      <w:r>
        <w:rPr>
          <w:color w:val="2E5FA3"/>
          <w:sz w:val="28"/>
          <w:szCs w:val="28"/>
        </w:rPr>
        <w:t xml:space="preserve">Game Document Review Report</w:t>
      </w:r>
    </w:p>
    <w:p>
      <w:pPr>
        <w:spacing w:after="300" w:before="0"/>
        <w:jc w:val="center"/>
      </w:pPr>
      <w:r>
        <w:rPr>
          <w:color w:val="666666"/>
          <w:sz w:val="18"/>
          <w:szCs w:val="18"/>
        </w:rPr>
        <w:t xml:space="preserve">案件 ID: 101011　　遊戲名稱: Sugar Kaboom　　審查日期: 2026-05-26</w:t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一、審查總覽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2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檢查項目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結果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文件存在性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通過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三份文件均存在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Special Symbol 出現率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⚠️ 注意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Game Description 未列出 Scatter (C1) 出現率百分比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Buy Feature 檢查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❌ 不通過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Game Description 含有 Buy Feature 內容，需移除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Extra Bet 檢查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通過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未發現 Extra Bet 相關敘述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Super Feature 檢查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通過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Game Description 未提及 Super Feature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&gt;$2 可拉彩金敘述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通過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未發現明確金額門檻觸發彩金的敘述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數值一致性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❌ 不通過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遊戲名稱不符、OP Jackpot 說明矛盾、Model ID 錯誤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檔名規範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⚠️ 注意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PARsheet 檔名與 Math Document 引用名稱不符（R 後綴差異）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RTP 資訊完整性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⚠️ 注意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RTP 數據在 PAR 中存在，但 Math Document 本文未直接列出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文件名稱/ID 一致性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❌ 不通過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H021194.xlsx 的 Model 欄位顯示錯誤 ID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二、詳細檢查結果</w:t>
      </w:r>
    </w:p>
    <w:p>
      <w:pPr>
        <w:pStyle w:val="Heading2"/>
        <w:spacing w:after="120" w:before="240"/>
      </w:pPr>
      <w:r>
        <w:rPr>
          <w:b/>
          <w:bCs/>
          <w:color w:val="2E5FA3"/>
          <w:sz w:val="24"/>
          <w:szCs w:val="24"/>
        </w:rPr>
        <w:t xml:space="preserve">1. 文件存在性與檔案清單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600"/>
        <w:gridCol w:w="34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檔案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101011_Game Description.docx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存在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101011_Math Document Description.docx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存在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PARsheet/H021192.xlsx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存在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PARsheet/H021194.xlsx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存在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4"/>
          <w:szCs w:val="24"/>
        </w:rPr>
        <w:t xml:space="preserve">2. Special Symbol 出現率</w:t>
      </w:r>
    </w:p>
    <w:p>
      <w:pPr>
        <w:spacing w:after="60" w:before="80"/>
      </w:pPr>
      <w:r>
        <w:rPr>
          <w:b/>
          <w:bCs/>
          <w:color w:val="7F6000"/>
          <w:sz w:val="19"/>
          <w:szCs w:val="19"/>
        </w:rPr>
        <w:t xml:space="preserve">⚠️ Game Description 中未明確標示 Scatter Symbol [C1] 的出現率百分比。</w:t>
      </w:r>
    </w:p>
    <w:p>
      <w:pPr>
        <w:spacing w:after="60" w:before="0"/>
      </w:pPr>
      <w:r>
        <w:rPr>
          <w:sz w:val="18"/>
          <w:szCs w:val="18"/>
        </w:rPr>
        <w:t xml:space="preserve">PAR Sheet 中有 Scatter symbol appear rate 欄位（以原始閾值整數表示）：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Scatter Symbol Appear Rate (閾值)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H021192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5,830,498,130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原始加權值，非百分比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H021194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5,811,110,606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原始加權值，非百分比</w:t>
            </w:r>
          </w:p>
        </w:tc>
      </w:tr>
    </w:tbl>
    <w:p>
      <w:pPr>
        <w:spacing w:after="0" w:before="60"/>
      </w:pPr>
      <w:r>
        <w:rPr>
          <w:i/>
          <w:iCs/>
          <w:color w:val="555555"/>
          <w:sz w:val="18"/>
          <w:szCs w:val="18"/>
        </w:rPr>
        <w:t xml:space="preserve">建議在 Game Description 中補充 Scatter Symbol 出現率的說明（如百分比或機率格式）。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4"/>
          <w:szCs w:val="24"/>
        </w:rPr>
        <w:t xml:space="preserve">3. Extra Bet / Buy Feature / Super Feature 檢查</w:t>
      </w:r>
    </w:p>
    <w:p>
      <w:pPr>
        <w:spacing w:after="60" w:before="80"/>
      </w:pPr>
      <w:r>
        <w:rPr>
          <w:b/>
          <w:bCs/>
          <w:color w:val="C00000"/>
          <w:sz w:val="20"/>
          <w:szCs w:val="20"/>
        </w:rPr>
        <w:t xml:space="preserve">❌ 發現 Buy Feature！</w:t>
      </w:r>
    </w:p>
    <w:p>
      <w:pPr>
        <w:spacing w:after="60" w:before="0"/>
      </w:pPr>
      <w:r>
        <w:rPr>
          <w:sz w:val="18"/>
          <w:szCs w:val="18"/>
        </w:rPr>
        <w:t xml:space="preserve">Game Description 中明確記載以下 Buy Feature 內容（第 74-76 段）：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BUY FEATURE</w:t>
            </w:r>
          </w:p>
          <w:p>
            <w:r>
              <w:rPr>
                <w:sz w:val="18"/>
                <w:szCs w:val="18"/>
              </w:rPr>
              <w:t xml:space="preserve">BUY FEATURE CAN BE PURCHASED BY USING A VALUE EQUAL TO {75X} TOTAL BET.</w:t>
            </w:r>
          </w:p>
          <w:p>
            <w:r>
              <w:rPr>
                <w:sz w:val="18"/>
                <w:szCs w:val="18"/>
              </w:rPr>
              <w:t xml:space="preserve">PURCHASING THE FREE GAMES FEATURE GUARANTEES FREE GAMES.</w:t>
            </w:r>
          </w:p>
        </w:tc>
      </w:tr>
    </w:tbl>
    <w:p>
      <w:pPr>
        <w:spacing w:after="40" w:before="80"/>
      </w:pPr>
      <w:r>
        <w:rPr>
          <w:b/>
          <w:bCs/>
          <w:color w:val="375623"/>
          <w:sz w:val="18"/>
          <w:szCs w:val="18"/>
        </w:rPr>
        <w:t xml:space="preserve">✅ Extra Bet：未發現相關敘述。</w:t>
      </w:r>
    </w:p>
    <w:p>
      <w:pPr>
        <w:spacing w:after="60" w:before="0"/>
      </w:pPr>
      <w:r>
        <w:rPr>
          <w:b/>
          <w:bCs/>
          <w:color w:val="375623"/>
          <w:sz w:val="18"/>
          <w:szCs w:val="18"/>
        </w:rPr>
        <w:t xml:space="preserve">✅ Super Feature：Game Description 未描述。（PAR Sheet 中有 'Super Free Game Symbol' 工作表，但該功能未在 Game Description 中說明。）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4"/>
          <w:szCs w:val="24"/>
        </w:rPr>
        <w:t xml:space="preserve">4. &gt;$2 可拉彩金敘述</w:t>
      </w:r>
    </w:p>
    <w:p>
      <w:pPr>
        <w:spacing w:after="60" w:before="80"/>
      </w:pPr>
      <w:r>
        <w:rPr>
          <w:b/>
          <w:bCs/>
          <w:color w:val="375623"/>
          <w:sz w:val="19"/>
          <w:szCs w:val="19"/>
        </w:rPr>
        <w:t xml:space="preserve">✅ 未發現明確的 &gt;$2 金額門檻觸發彩金的敘述。</w:t>
      </w:r>
    </w:p>
    <w:p>
      <w:pPr>
        <w:spacing w:after="60" w:before="0"/>
      </w:pPr>
      <w:r>
        <w:rPr>
          <w:color w:val="444444"/>
          <w:sz w:val="18"/>
          <w:szCs w:val="18"/>
        </w:rPr>
        <w:t xml:space="preserve">OP Jackpot 觸發說明（P86）：「THE HIGHER BET, THE HIGHER CHANCES TO TRIGGER OP JACKPOT FEATURE」— 此描述無具體金額門檻，符合規範。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4"/>
          <w:szCs w:val="24"/>
        </w:rPr>
        <w:t xml:space="preserve">5. 文件內數值一致性</w:t>
      </w:r>
    </w:p>
    <w:p>
      <w:pPr>
        <w:spacing w:after="60" w:before="80"/>
      </w:pPr>
      <w:r>
        <w:rPr>
          <w:b/>
          <w:bCs/>
          <w:sz w:val="20"/>
          <w:szCs w:val="20"/>
        </w:rPr>
        <w:t xml:space="preserve">▶ 賠率表（Pay Table）比對</w:t>
      </w:r>
    </w:p>
    <w:p>
      <w:pPr>
        <w:spacing w:after="80" w:before="0"/>
      </w:pPr>
      <w:r>
        <w:rPr>
          <w:b/>
          <w:bCs/>
          <w:color w:val="375623"/>
          <w:sz w:val="18"/>
          <w:szCs w:val="18"/>
        </w:rPr>
        <w:t xml:space="preserve">✅ Game Description 賠率與 PARsheet 完全一致。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400"/>
        <w:gridCol w:w="1400"/>
        <w:gridCol w:w="1400"/>
        <w:gridCol w:w="1400"/>
        <w:gridCol w:w="1400"/>
        <w:gridCol w:w="140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GD 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 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一致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W1 (M1)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30/80/200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30/80/200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W2 (M2)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25/60/150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25/60/150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W3 (M3)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20/50/100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20/50/100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W4 (M4)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15/30/50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15/30/50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W5 (M5)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10/15/40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10/15/40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W6 (M6)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10/15/40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10/15/40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W7 (M7)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3/10/20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3/10/20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W8 (M8)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3/10/20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3/10/20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▶ 發現的不一致問題</w:t>
      </w:r>
    </w:p>
    <w:p>
      <w:pPr>
        <w:spacing w:after="40" w:before="80"/>
      </w:pPr>
      <w:r>
        <w:rPr>
          <w:b/>
          <w:bCs/>
          <w:color w:val="C00000"/>
          <w:sz w:val="19"/>
          <w:szCs w:val="19"/>
        </w:rPr>
        <w:t xml:space="preserve">❌ 問題 1：遊戲名稱不符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遊戲名稱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Game Description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Sugar Kaboom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Math Document（Scatter Hit 章節）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Sugar Bang Bang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❌ 不符</w:t>
            </w:r>
          </w:p>
        </w:tc>
      </w:tr>
    </w:tbl>
    <w:p>
      <w:pPr>
        <w:spacing w:after="80" w:before="40"/>
      </w:pPr>
      <w:r>
        <w:rPr>
          <w:i/>
          <w:iCs/>
          <w:color w:val="555555"/>
          <w:sz w:val="17"/>
          <w:szCs w:val="17"/>
        </w:rPr>
        <w:t xml:space="preserve">Math Document 中 Scatter Symbol Hit Determination 章節提及遊戲名稱為「Sugar Bang Bang」，與 Game Description 中的「Sugar Kaboom」不符，請確認並統一。</w:t>
      </w:r>
    </w:p>
    <w:p>
      <w:pPr>
        <w:spacing w:after="40" w:before="80"/>
      </w:pPr>
      <w:r>
        <w:rPr>
          <w:b/>
          <w:bCs/>
          <w:color w:val="C00000"/>
          <w:sz w:val="19"/>
          <w:szCs w:val="19"/>
        </w:rPr>
        <w:t xml:space="preserve">❌ 問題 2：OP Jackpot Grand/Major 說明矛盾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Game Description（P82-P83）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[GRAND] IS LINKED PROGRESSIVE JACKPOT. / [MAJOR] IS LINKED PROGRESSIVE JACKPOT.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Math Document（補充說明）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"OP Jackpot does not include Grand and Major awards."</w:t>
            </w:r>
          </w:p>
        </w:tc>
      </w:tr>
    </w:tbl>
    <w:p>
      <w:pPr>
        <w:spacing w:after="80" w:before="40"/>
      </w:pPr>
      <w:r>
        <w:rPr>
          <w:i/>
          <w:iCs/>
          <w:color w:val="555555"/>
          <w:sz w:val="17"/>
          <w:szCs w:val="17"/>
        </w:rPr>
        <w:t xml:space="preserve">兩份文件對 OP Jackpot 是否包含 Grand/Major 的說明相互矛盾，請確認實際機制並統一文件描述。</w:t>
      </w:r>
    </w:p>
    <w:p>
      <w:pPr>
        <w:spacing w:after="40" w:before="80"/>
      </w:pPr>
      <w:r>
        <w:rPr>
          <w:b/>
          <w:bCs/>
          <w:color w:val="C00000"/>
          <w:sz w:val="19"/>
          <w:szCs w:val="19"/>
        </w:rPr>
        <w:t xml:space="preserve">❌ 問題 3：H021194.xlsx Model ID 顯示錯誤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檔案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Overview Model 欄位顯示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應為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H021192.xlsx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H021192-0.3.0.0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正確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H021194.xlsx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H021192-0.3.0.0 ← 錯誤！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❌ 應為 H021194-...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4"/>
          <w:szCs w:val="24"/>
        </w:rPr>
        <w:t xml:space="preserve">6. 檔名規範檢查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80"/>
        <w:gridCol w:w="4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檔案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101011_Game Description.docx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符合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{ID}_Game Description.docx 格式正確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101011_Math Document Description.docx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符合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{ID}_Math Document Description.docx 格式正確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PARsheet/H021192.xlsx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⚠️ 注意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Math Document 引用名為 H021192R.xlsx（多 R 後綴），實際檔名缺少 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PARsheet/H021194.xlsx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⚠️ 注意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Math Document 引用名為 H021194R.xlsx（多 R 後綴），實際檔名缺少 R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4"/>
          <w:szCs w:val="24"/>
        </w:rPr>
        <w:t xml:space="preserve">7. RTP 資訊</w:t>
      </w:r>
    </w:p>
    <w:p>
      <w:pPr>
        <w:spacing w:after="60" w:before="80"/>
      </w:pPr>
      <w:r>
        <w:rPr>
          <w:color w:val="7F6000"/>
          <w:sz w:val="18"/>
          <w:szCs w:val="18"/>
        </w:rPr>
        <w:t xml:space="preserve">⚠️ Math Document 本文未直接列出 RTP 數據，僅說明「詳細資訊請參考 H021192R.xlsx 及 H021194R.xlsx」，但 PARsheet 資料夾中不含 R 後綴版本。以下為從 PARsheet 讀取之 RTP 數據：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RTP 項目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H021192（RTP 96%版）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H021194（RTP 96%版）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BG RTP（Base Game）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79.22%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81.07%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FG RTP（Free Game）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12.79%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12.93%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Bonus RTP（OP Jackpot Minor/Mini）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2.00%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Progressive/Link RTP（Grand/Major）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2.00%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0%（此版本無 Grand/Major）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Game Pay Back（不含 Progressive）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92.00%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94.01%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Total RTP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96.00%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96.01%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免費遊戲觸發率（Free Game Hits）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0.2750%（約 1/364 spins）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0.2781%（約 1/360 spins）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Bet / Paylines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/ 1024 ways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/ 1024 ways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4"/>
          <w:szCs w:val="24"/>
        </w:rPr>
        <w:t xml:space="preserve">8. 文件名稱、ID 檢查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80"/>
        <w:gridCol w:w="4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主文件 ID（101011）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✅ 一致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資料夾名稱與文件前綴 ID 一致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Math Document 引用之 PAR 檔名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❌ 不符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文件引用 H021192R.xlsx / H021194R.xlsx，實際檔名無 R 後綴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H021194.xlsx 內部 Model 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❌ 錯誤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Overview 欄位顯示 H021192-0.3.0.0，應為 H021194-0.3.0.0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遊戲名稱一致性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❌ 不符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Game Description: Sugar Kaboom vs Math Doc (Scatter 章節): Sugar Bang Bang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三、待修正事項彙整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28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類別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Buy Feature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Game Description 含有 Buy Feature 章節（P74-P76），需整段移除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🔴 必須修正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遊戲名稱不符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Math Document Scatter 章節出現「Sugar Bang Bang」，應統一為「Sugar Kaboom」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🔴 必須修正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 Jackpot 矛盾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Game Description 說 Grand/Major 為 Linked Progressive；Math Document 說 OP Jackpot 不含 Grand/Major，需統一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🔴 必須修正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 ID 錯誤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H021194.xlsx Overview 的 Model 欄位顯示 H021192-0.3.0.0，應更正為 H021194-0.3.0.0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🔴 必須修正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檔名不符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Math Document 引用 H021192R.xlsx / H021194R.xlsx（R後綴），但 PARsheet 中無此版本，需確認正確檔名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🟡 需確認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Scatter 出現率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Game Description 未說明 Scatter Symbol (C1) 的出現率，建議補充說明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🟡 建議補充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RTP 未列於 Math Doc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Math Document 本文未直接列出 BG/FG/Bonus/Progressive RTP，僅指向外部文件（且外部文件名稱有出入）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🟡 建議補充</w:t>
            </w:r>
          </w:p>
        </w:tc>
      </w:tr>
    </w:tbl>
    <w:p>
      <w:pPr>
        <w:spacing w:after="0" w:before="360"/>
      </w:pPr>
      <w:r>
        <w:rPr>
          <w:sz w:val="20"/>
          <w:szCs w:val="20"/>
        </w:rPr>
        <w:t xml:space="preserve">　</w:t>
      </w:r>
    </w:p>
    <w:p>
      <w:pPr>
        <w:spacing w:after="0" w:before="60"/>
        <w:jc w:val="right"/>
      </w:pPr>
      <w:r>
        <w:rPr>
          <w:i/>
          <w:iCs/>
          <w:color w:val="888888"/>
          <w:sz w:val="16"/>
          <w:szCs w:val="16"/>
        </w:rPr>
        <w:t xml:space="preserve">報告生成日期：2026-05-26</w:t>
      </w:r>
    </w:p>
    <w:p>
      <w:pPr>
        <w:spacing w:after="0" w:before="0"/>
        <w:jc w:val="right"/>
      </w:pPr>
      <w:r>
        <w:rPr>
          <w:i/>
          <w:iCs/>
          <w:color w:val="888888"/>
          <w:sz w:val="16"/>
          <w:szCs w:val="16"/>
        </w:rPr>
        <w:t xml:space="preserve">審查系統：Claude AI Document Review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2026-05-26T08:42:46.011Z</dcterms:created>
  <dcterms:modified xsi:type="dcterms:W3CDTF">2026-05-26T08:42:46.012Z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