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лабораторная-работа-2.-основные-модели"/>
    <w:p>
      <w:pPr>
        <w:pStyle w:val="Heading1"/>
      </w:pPr>
      <w:r>
        <w:t xml:space="preserve">Лабораторная работа 2. Основные модели</w:t>
      </w:r>
    </w:p>
    <w:p>
      <w:pPr>
        <w:pStyle w:val="FirstParagraph"/>
      </w:pPr>
      <w:r>
        <w:t xml:space="preserve">ОТЧЁТ</w:t>
      </w:r>
    </w:p>
    <w:p>
      <w:pPr>
        <w:pStyle w:val="BodyText"/>
      </w:pPr>
      <w:r>
        <w:t xml:space="preserve">по лабораторной работе №2</w:t>
      </w:r>
    </w:p>
    <w:p>
      <w:pPr>
        <w:pStyle w:val="BodyText"/>
      </w:pPr>
      <w:r>
        <w:t xml:space="preserve">«SIR и Лотка–Вольтерра»</w:t>
      </w:r>
    </w:p>
    <w:p>
      <w:pPr>
        <w:pStyle w:val="BodyText"/>
      </w:pPr>
      <w:r>
        <w:t xml:space="preserve">по дисциплине «Имитационное моделирование»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</w:pPr>
            <w:r>
              <w:t xml:space="preserve">Исаева Зарина Исмайилбековна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НКНбд–01–23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Преподаватель</w:t>
            </w:r>
          </w:p>
        </w:tc>
        <w:tc>
          <w:tcPr/>
          <w:p>
            <w:pPr>
              <w:pStyle w:val="Compact"/>
            </w:pPr>
            <w:r>
              <w:t xml:space="preserve">Кулябов Дмитрий Сергеевич, преподаватель дисциплины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</w:t>
            </w:r>
          </w:p>
        </w:tc>
        <w:tc>
          <w:tcPr/>
          <w:p>
            <w:pPr>
              <w:pStyle w:val="Compact"/>
            </w:pPr>
            <w:r>
              <w:t xml:space="preserve">Российский университет дружбы народов имени Патриса Лумумбы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Исследовать детерминированные модели распространения инфекции и взаимодействия хищник–жертва.</w:t>
      </w:r>
    </w:p>
    <w:bookmarkEnd w:id="9"/>
    <w:bookmarkStart w:id="1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В рамках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исследовать детерминированную SIR-модель распространения инфекции;</w:t>
      </w:r>
    </w:p>
    <w:p>
      <w:pPr>
        <w:pStyle w:val="Compact"/>
        <w:numPr>
          <w:ilvl w:val="0"/>
          <w:numId w:val="1001"/>
        </w:numPr>
      </w:pPr>
      <w:r>
        <w:t xml:space="preserve">смоделировать взаимодействие хищник–жертва в модели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получить временные ряды и сводные численные показатели;</w:t>
      </w:r>
    </w:p>
    <w:p>
      <w:pPr>
        <w:pStyle w:val="Compact"/>
        <w:numPr>
          <w:ilvl w:val="0"/>
          <w:numId w:val="1001"/>
        </w:numPr>
      </w:pPr>
      <w:r>
        <w:t xml:space="preserve">сопоставить характер динамики двух классических моделей.</w:t>
      </w:r>
    </w:p>
    <w:bookmarkEnd w:id="10"/>
    <w:bookmarkStart w:id="11" w:name="теоретические-сведения"/>
    <w:p>
      <w:pPr>
        <w:pStyle w:val="Heading2"/>
      </w:pPr>
      <w:r>
        <w:t xml:space="preserve">Теоретические сведения</w:t>
      </w:r>
    </w:p>
    <w:p>
      <w:pPr>
        <w:pStyle w:val="FirstParagraph"/>
      </w:pPr>
      <w:r>
        <w:t xml:space="preserve">SIR-модель делит популяцию на восприимчивых, инфицированных и выздоровевших. Изменение этих групп описывается системой дифференциальных уравнений и позволяет анализировать момент пика эпидемии, длительность волны заражения и влияние интенсивности контактов.</w:t>
      </w:r>
      <w:r>
        <w:t xml:space="preserve"> </w:t>
      </w:r>
      <w:r>
        <w:t xml:space="preserve">Модель Лотки–Вольтерры описывает циклическое взаимодействие двух популяций: жертв и хищников. Она наглядно показывает, как взаимосвязанные темпы роста и потребления формируют колебательный режим и фазовый портрет системы.</w:t>
      </w:r>
    </w:p>
    <w:bookmarkEnd w:id="11"/>
    <w:bookmarkStart w:id="12" w:name="X90ec9b3c0313e0d5781da0417c1fef4e264c20d"/>
    <w:p>
      <w:pPr>
        <w:pStyle w:val="Heading2"/>
      </w:pPr>
      <w:r>
        <w:t xml:space="preserve">Исходные параметры и организация эксперимента</w:t>
      </w:r>
    </w:p>
    <w:p>
      <w:pPr>
        <w:pStyle w:val="Compact"/>
        <w:numPr>
          <w:ilvl w:val="0"/>
          <w:numId w:val="1002"/>
        </w:numPr>
      </w:pPr>
      <w:r>
        <w:t xml:space="preserve">для SIR-модели задаются параметры заражения и выздоровления;</w:t>
      </w:r>
    </w:p>
    <w:p>
      <w:pPr>
        <w:pStyle w:val="Compact"/>
        <w:numPr>
          <w:ilvl w:val="0"/>
          <w:numId w:val="1002"/>
        </w:numPr>
      </w:pPr>
      <w:r>
        <w:t xml:space="preserve">для модели Лотки–Вольтерры задаются коэффициенты естественного роста, хищничества и воспроизводства;</w:t>
      </w:r>
    </w:p>
    <w:p>
      <w:pPr>
        <w:pStyle w:val="Compact"/>
        <w:numPr>
          <w:ilvl w:val="0"/>
          <w:numId w:val="1002"/>
        </w:numPr>
      </w:pPr>
      <w:r>
        <w:t xml:space="preserve">оба сценария моделируются на общем временном интервале с одинаковым шагом дискретизации;</w:t>
      </w:r>
    </w:p>
    <w:p>
      <w:pPr>
        <w:pStyle w:val="Compact"/>
        <w:numPr>
          <w:ilvl w:val="0"/>
          <w:numId w:val="1002"/>
        </w:numPr>
      </w:pPr>
      <w:r>
        <w:t xml:space="preserve">в итоговые данные включаются как временные ряды, так и интегральные показатели динамики.</w:t>
      </w:r>
    </w:p>
    <w:bookmarkEnd w:id="12"/>
    <w:bookmarkStart w:id="13" w:name="ход-выполнения-лабораторной-работы"/>
    <w:p>
      <w:pPr>
        <w:pStyle w:val="Heading2"/>
      </w:pPr>
      <w:r>
        <w:t xml:space="preserve">Ход выполнения лабораторной работы</w:t>
      </w:r>
    </w:p>
    <w:p>
      <w:pPr>
        <w:pStyle w:val="Compact"/>
        <w:numPr>
          <w:ilvl w:val="0"/>
          <w:numId w:val="1003"/>
        </w:numPr>
      </w:pPr>
      <w:r>
        <w:t xml:space="preserve">Описаны две самостоятельные математические постановки внутри одного лабораторного практикума.</w:t>
      </w:r>
    </w:p>
    <w:p>
      <w:pPr>
        <w:pStyle w:val="Compact"/>
        <w:numPr>
          <w:ilvl w:val="0"/>
          <w:numId w:val="1003"/>
        </w:numPr>
      </w:pPr>
      <w:r>
        <w:t xml:space="preserve">Для каждой модели выполнен численный расчёт по заданным параметрам.</w:t>
      </w:r>
    </w:p>
    <w:p>
      <w:pPr>
        <w:pStyle w:val="Compact"/>
        <w:numPr>
          <w:ilvl w:val="0"/>
          <w:numId w:val="1003"/>
        </w:numPr>
      </w:pPr>
      <w:r>
        <w:t xml:space="preserve">Сформированы таблицы временных рядов для всех ключевых переменных.</w:t>
      </w:r>
    </w:p>
    <w:p>
      <w:pPr>
        <w:pStyle w:val="Compact"/>
        <w:numPr>
          <w:ilvl w:val="0"/>
          <w:numId w:val="1003"/>
        </w:numPr>
      </w:pPr>
      <w:r>
        <w:t xml:space="preserve">Построены графики динамики инфекции и фазовые/временные характеристики системы хищник–жертва.</w:t>
      </w:r>
    </w:p>
    <w:p>
      <w:pPr>
        <w:pStyle w:val="Compact"/>
        <w:numPr>
          <w:ilvl w:val="0"/>
          <w:numId w:val="1003"/>
        </w:numPr>
      </w:pPr>
      <w:r>
        <w:t xml:space="preserve">Подготовлена итоговая интерпретация различий между эпидемической и биологической динамикой.</w:t>
      </w:r>
    </w:p>
    <w:bookmarkEnd w:id="13"/>
    <w:bookmarkStart w:id="22" w:name="результаты-моделирования"/>
    <w:p>
      <w:pPr>
        <w:pStyle w:val="Heading2"/>
      </w:pPr>
      <w:r>
        <w:t xml:space="preserve">Результаты моделирования</w:t>
      </w:r>
    </w:p>
    <w:p>
      <w:pPr>
        <w:pStyle w:val="FirstParagraph"/>
      </w:pPr>
      <w:r>
        <w:drawing>
          <wp:inline>
            <wp:extent cx="5334000" cy="3200399"/>
            <wp:effectExtent b="0" l="0" r="0" t="0"/>
            <wp:docPr descr="Динамика SIR-модели" title="" id="15" name="Picture"/>
            <a:graphic>
              <a:graphicData uri="http://schemas.openxmlformats.org/drawingml/2006/picture">
                <pic:pic>
                  <pic:nvPicPr>
                    <pic:cNvPr descr="../results/figures/sir_dynamic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 — Динамика SIR-модели</w:t>
      </w:r>
    </w:p>
    <w:p>
      <w:pPr>
        <w:pStyle w:val="BodyText"/>
      </w:pPr>
      <w:r>
        <w:drawing>
          <wp:inline>
            <wp:extent cx="5334000" cy="2453640"/>
            <wp:effectExtent b="0" l="0" r="0" t="0"/>
            <wp:docPr descr="Фазовый портрет и временные ряды модели Лотки–Вольтерры" title="" id="18" name="Picture"/>
            <a:graphic>
              <a:graphicData uri="http://schemas.openxmlformats.org/drawingml/2006/picture">
                <pic:pic>
                  <pic:nvPicPr>
                    <pic:cNvPr descr="../results/figures/lotka_volterr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 — Фазовый портрет и временные ряды модели Лотки–Вольтерры</w:t>
      </w:r>
    </w:p>
    <w:bookmarkStart w:id="20" w:name="фрагмент-временного-ряда-sir-модели"/>
    <w:p>
      <w:pPr>
        <w:pStyle w:val="Heading3"/>
      </w:pPr>
      <w:r>
        <w:t xml:space="preserve">Фрагмент временного ряда SIR-модели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</w:tbl>
    <w:bookmarkEnd w:id="20"/>
    <w:bookmarkStart w:id="21" w:name="сводная-таблица-основных-результатов"/>
    <w:p>
      <w:pPr>
        <w:pStyle w:val="Heading3"/>
      </w:pPr>
      <w:r>
        <w:t xml:space="preserve">Сводная таблица основных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 зараженных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</w:tr>
    </w:tbl>
    <w:bookmarkEnd w:id="21"/>
    <w:bookmarkEnd w:id="22"/>
    <w:bookmarkStart w:id="23" w:name="анализ-и-интерпретация-результатов"/>
    <w:p>
      <w:pPr>
        <w:pStyle w:val="Heading2"/>
      </w:pPr>
      <w:r>
        <w:t xml:space="preserve">Анализ и интерпретация результатов</w:t>
      </w:r>
    </w:p>
    <w:p>
      <w:pPr>
        <w:pStyle w:val="Compact"/>
        <w:numPr>
          <w:ilvl w:val="0"/>
          <w:numId w:val="1004"/>
        </w:numPr>
      </w:pPr>
      <w:r>
        <w:t xml:space="preserve">Для SIR-модели отчётливо выделяется пик инфицированных, после которого число заражённых снижается за счёт исчерпания восприимчивой части популяции и накопления выздоровевших.</w:t>
      </w:r>
    </w:p>
    <w:p>
      <w:pPr>
        <w:pStyle w:val="Compact"/>
        <w:numPr>
          <w:ilvl w:val="0"/>
          <w:numId w:val="1004"/>
        </w:numPr>
      </w:pPr>
      <w:r>
        <w:t xml:space="preserve">Для модели Лотки–Вольтерры характерны волнообразные колебания: рост числа жертв ведёт к увеличению числа хищников, а затем усиление давления хищников сокращает популяцию жертв.</w:t>
      </w:r>
    </w:p>
    <w:p>
      <w:pPr>
        <w:pStyle w:val="Compact"/>
        <w:numPr>
          <w:ilvl w:val="0"/>
          <w:numId w:val="1004"/>
        </w:numPr>
      </w:pPr>
      <w:r>
        <w:t xml:space="preserve">Совместное рассмотрение двух моделей помогает увидеть, что даже простые системы уравнений способны воспроизводить качественно разные динамические режимы.</w:t>
      </w:r>
    </w:p>
    <w:bookmarkEnd w:id="23"/>
    <w:bookmarkStart w:id="24" w:name="выводы"/>
    <w:p>
      <w:pPr>
        <w:pStyle w:val="Heading2"/>
      </w:pPr>
      <w:r>
        <w:t xml:space="preserve">Выводы</w:t>
      </w:r>
    </w:p>
    <w:p>
      <w:pPr>
        <w:pStyle w:val="Compact"/>
        <w:numPr>
          <w:ilvl w:val="0"/>
          <w:numId w:val="1005"/>
        </w:numPr>
      </w:pPr>
      <w:r>
        <w:t xml:space="preserve">Исследованы две фундаментальные детерминированные модели имитационного моделирования.</w:t>
      </w:r>
    </w:p>
    <w:p>
      <w:pPr>
        <w:pStyle w:val="Compact"/>
        <w:numPr>
          <w:ilvl w:val="0"/>
          <w:numId w:val="1005"/>
        </w:numPr>
      </w:pPr>
      <w:r>
        <w:t xml:space="preserve">Получены временные ряды и агрегированные показатели, удобные для дальнейшего анализа.</w:t>
      </w:r>
    </w:p>
    <w:p>
      <w:pPr>
        <w:pStyle w:val="Compact"/>
        <w:numPr>
          <w:ilvl w:val="0"/>
          <w:numId w:val="1005"/>
        </w:numPr>
      </w:pPr>
      <w:r>
        <w:t xml:space="preserve">Показано, что структура взаимодействий напрямую определяет форму динамики системы.</w:t>
      </w:r>
    </w:p>
    <w:bookmarkEnd w:id="24"/>
    <w:bookmarkStart w:id="25" w:name="листинг-программы"/>
    <w:p>
      <w:pPr>
        <w:pStyle w:val="Heading2"/>
      </w:pPr>
      <w:r>
        <w:t xml:space="preserve">Листинг программы</w:t>
      </w:r>
    </w:p>
    <w:p>
      <w:pPr>
        <w:pStyle w:val="SourceCode"/>
      </w:pPr>
      <w:r>
        <w:rPr>
          <w:rStyle w:val="CommentTok"/>
        </w:rPr>
        <w:t xml:space="preserve"># Этот файл сгенерирован автоматически из qmd-источника.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br/>
      </w:r>
      <w:r>
        <w:br/>
      </w:r>
      <w:r>
        <w:rPr>
          <w:rStyle w:val="NormalTok"/>
        </w:rPr>
        <w:t xml:space="preserve">results_dir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(results_dir)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(path, headers, rows)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(headers,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.(row),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rk4_step</w:t>
      </w:r>
      <w:r>
        <w:rPr>
          <w:rStyle w:val="NormalTok"/>
        </w:rPr>
        <w:t xml:space="preserve">(f, t, y, h)</w:t>
      </w:r>
      <w:r>
        <w:br/>
      </w:r>
      <w:r>
        <w:rPr>
          <w:rStyle w:val="NormalTok"/>
        </w:rPr>
        <w:t xml:space="preserve">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(t, y)</w:t>
      </w:r>
      <w:r>
        <w:br/>
      </w:r>
      <w:r>
        <w:rPr>
          <w:rStyle w:val="NormalTok"/>
        </w:rPr>
        <w:t xml:space="preserve">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h, y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k2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k3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k4)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solve_model</w:t>
      </w:r>
      <w:r>
        <w:rPr>
          <w:rStyle w:val="NormalTok"/>
        </w:rPr>
        <w:t xml:space="preserve">(f, y0, t_max, h)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h))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{Vector{Float64}}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   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(y0)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y[i]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rk4_step</w:t>
      </w:r>
      <w:r>
        <w:rPr>
          <w:rStyle w:val="NormalTok"/>
        </w:rPr>
        <w:t xml:space="preserve">(f, t[i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y[i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t,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sir0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sir_f</w:t>
      </w:r>
      <w:r>
        <w:rPr>
          <w:rStyle w:val="NormalTok"/>
        </w:rPr>
        <w:t xml:space="preserve">(t, 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t_sir, y_sir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solve_model</w:t>
      </w:r>
      <w:r>
        <w:rPr>
          <w:rStyle w:val="NormalTok"/>
        </w:rPr>
        <w:t xml:space="preserve">(sir_f, sir0,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sir_rows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t_sir[i]),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y_sir[i][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y_sir[i][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y_sir[i][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(t_sir)]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"sir.csv"</w:t>
      </w:r>
      <w:r>
        <w:rPr>
          <w:rStyle w:val="NormalTok"/>
        </w:rPr>
        <w:t xml:space="preserve">), 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sir_rows)</w:t>
      </w:r>
      <w:r>
        <w:br/>
      </w:r>
      <w:r>
        <w:br/>
      </w:r>
      <w:r>
        <w:rPr>
          <w:rStyle w:val="NormalTok"/>
        </w:rPr>
        <w:t xml:space="preserve">α, δ,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lv0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lv_f</w:t>
      </w:r>
      <w:r>
        <w:rPr>
          <w:rStyle w:val="NormalTok"/>
        </w:rPr>
        <w:t xml:space="preserve">(t, 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prey,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[α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δ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predator]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t_lv, y_lv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solve_model</w:t>
      </w:r>
      <w:r>
        <w:rPr>
          <w:rStyle w:val="NormalTok"/>
        </w:rPr>
        <w:t xml:space="preserve">(lv_f, lv0,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lv_rows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t_lv[i]),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y_lv[i][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 </w:t>
      </w:r>
      <w:r>
        <w:rPr>
          <w:rStyle w:val="PreprocessorTok"/>
        </w:rPr>
        <w:t xml:space="preserve">@sprintf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y_lv[i][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(t_lv)]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(results_dir, </w:t>
      </w:r>
      <w:r>
        <w:rPr>
          <w:rStyle w:val="StringTok"/>
        </w:rPr>
        <w:t xml:space="preserve">"lotka_volterra.csv"</w:t>
      </w:r>
      <w:r>
        <w:rPr>
          <w:rStyle w:val="NormalTok"/>
        </w:rPr>
        <w:t xml:space="preserve">), 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], lv_rows)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"lab02 done"</w:t>
      </w:r>
      <w:r>
        <w:rPr>
          <w:rStyle w:val="NormalTok"/>
        </w:rPr>
        <w:t xml:space="preserve">)</w:t>
      </w:r>
    </w:p>
    <w:bookmarkEnd w:id="25"/>
    <w:bookmarkStart w:id="26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William O. Kermack and Anderson G. McKendrick. A Contribution to the Mathematical Theory of Epidemics. Proceedings of the Royal Society A, 1927.</w:t>
      </w:r>
    </w:p>
    <w:p>
      <w:pPr>
        <w:pStyle w:val="Compact"/>
        <w:numPr>
          <w:ilvl w:val="0"/>
          <w:numId w:val="1006"/>
        </w:numPr>
      </w:pPr>
      <w:r>
        <w:t xml:space="preserve">Alfred J. Lotka. Elements of Physical Biology. Williams and Wilkins, 1925.</w:t>
      </w:r>
    </w:p>
    <w:p>
      <w:pPr>
        <w:pStyle w:val="Compact"/>
        <w:numPr>
          <w:ilvl w:val="0"/>
          <w:numId w:val="1006"/>
        </w:numPr>
      </w:pPr>
      <w:r>
        <w:t xml:space="preserve">Vito Volterra. Variazioni e fluttuazioni del numero d’individui in specie animali conviventi. Memorie della Reale Accademia Nazionale dei Lincei, 1926.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2026-06-21T23:06:45Z</dcterms:created>
  <dcterms:modified xsi:type="dcterms:W3CDTF">2026-06-21T23:06:45Z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