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54a88f49990fe157e4e76cf8c7f07225f0e9f3"/>
    <w:p>
      <w:pPr>
        <w:pStyle w:val="Heading1"/>
      </w:pPr>
      <w:r>
        <w:t xml:space="preserve">Лабораторная работа 8. Дискретно-событийный SIR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№8</w:t>
      </w:r>
    </w:p>
    <w:p>
      <w:pPr>
        <w:pStyle w:val="BodyText"/>
      </w:pPr>
      <w:r>
        <w:t xml:space="preserve">«Сравнение событийной и детерминированной постановки»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Сравнить дискретно-событийную SIR-модель с детерминированной кривой и анализом чувствительности.</w:t>
      </w:r>
    </w:p>
    <w:bookmarkEnd w:id="9"/>
    <w:bookmarkStart w:id="10" w:name="постановка-задачи"/>
    <w:p>
      <w:pPr>
        <w:pStyle w:val="Heading2"/>
      </w:pPr>
      <w:r>
        <w:t xml:space="preserve">Постановка задачи</w:t>
      </w:r>
    </w:p>
    <w:p>
      <w:pPr>
        <w:pStyle w:val="FirstParagraph"/>
      </w:pPr>
      <w:r>
        <w:t xml:space="preserve">В рамках лабораторной работы необходимо:</w:t>
      </w:r>
    </w:p>
    <w:p>
      <w:pPr>
        <w:pStyle w:val="Compact"/>
        <w:numPr>
          <w:ilvl w:val="0"/>
          <w:numId w:val="1001"/>
        </w:numPr>
      </w:pPr>
      <w:r>
        <w:t xml:space="preserve">реализовать дискретно-событийную SIR-модель;</w:t>
      </w:r>
    </w:p>
    <w:p>
      <w:pPr>
        <w:pStyle w:val="Compact"/>
        <w:numPr>
          <w:ilvl w:val="0"/>
          <w:numId w:val="1001"/>
        </w:numPr>
      </w:pPr>
      <w:r>
        <w:t xml:space="preserve">сравнить её с детерминированной кривой инфицированных;</w:t>
      </w:r>
    </w:p>
    <w:p>
      <w:pPr>
        <w:pStyle w:val="Compact"/>
        <w:numPr>
          <w:ilvl w:val="0"/>
          <w:numId w:val="1001"/>
        </w:numPr>
      </w:pPr>
      <w:r>
        <w:t xml:space="preserve">исследовать влияние коэффициента заражения на пик эпидемии;</w:t>
      </w:r>
    </w:p>
    <w:p>
      <w:pPr>
        <w:pStyle w:val="Compact"/>
        <w:numPr>
          <w:ilvl w:val="0"/>
          <w:numId w:val="1001"/>
        </w:numPr>
      </w:pPr>
      <w:r>
        <w:t xml:space="preserve">показать отличия событийной и непрерывной постановок одной и той же задачи.</w:t>
      </w:r>
    </w:p>
    <w:bookmarkEnd w:id="10"/>
    <w:bookmarkStart w:id="11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Дискретно-событийная SIR-модель описывает распространение инфекции как последовательность индивидуальных событий заражения и выздоровления. Такой подход лучше отражает случайную природу взаимодействий и может демонстрировать отклонения от сглаженной детерминированной траектории.</w:t>
      </w:r>
      <w:r>
        <w:t xml:space="preserve"> </w:t>
      </w:r>
      <w:r>
        <w:t xml:space="preserve">Сравнение с обычной системой дифференциальных уравнений полезно с методической точки зрения: оно позволяет увидеть, какие особенности добавляет событийная постановка и как случайность влияет на время и высоту эпидемического пика.</w:t>
      </w:r>
    </w:p>
    <w:bookmarkEnd w:id="11"/>
    <w:bookmarkStart w:id="12" w:name="X90ec9b3c0313e0d5781da0417c1fef4e264c20d"/>
    <w:p>
      <w:pPr>
        <w:pStyle w:val="Heading2"/>
      </w:pPr>
      <w:r>
        <w:t xml:space="preserve">Исходные параметры и организация эксперимента</w:t>
      </w:r>
    </w:p>
    <w:p>
      <w:pPr>
        <w:pStyle w:val="Compact"/>
        <w:numPr>
          <w:ilvl w:val="0"/>
          <w:numId w:val="1002"/>
        </w:numPr>
      </w:pPr>
      <w:r>
        <w:t xml:space="preserve">в основном эксперименте строятся две траектории: событийная и детерминированная;</w:t>
      </w:r>
    </w:p>
    <w:p>
      <w:pPr>
        <w:pStyle w:val="Compact"/>
        <w:numPr>
          <w:ilvl w:val="0"/>
          <w:numId w:val="1002"/>
        </w:numPr>
      </w:pPr>
      <w:r>
        <w:t xml:space="preserve">для анализа используются значения инфицированных во времени;</w:t>
      </w:r>
    </w:p>
    <w:p>
      <w:pPr>
        <w:pStyle w:val="Compact"/>
        <w:numPr>
          <w:ilvl w:val="0"/>
          <w:numId w:val="1002"/>
        </w:numPr>
      </w:pPr>
      <w:r>
        <w:t xml:space="preserve">в параметрической части варьируется коэффициент заражения beta;</w:t>
      </w:r>
    </w:p>
    <w:p>
      <w:pPr>
        <w:pStyle w:val="Compact"/>
        <w:numPr>
          <w:ilvl w:val="0"/>
          <w:numId w:val="1002"/>
        </w:numPr>
      </w:pPr>
      <w:r>
        <w:t xml:space="preserve">результаты сохраняются в сравнительные таблицы и графики.</w:t>
      </w:r>
    </w:p>
    <w:bookmarkEnd w:id="12"/>
    <w:bookmarkStart w:id="13" w:name="ход-выполнения-лабораторной-работы"/>
    <w:p>
      <w:pPr>
        <w:pStyle w:val="Heading2"/>
      </w:pPr>
      <w:r>
        <w:t xml:space="preserve">Ход выполнения лабораторной работы</w:t>
      </w:r>
    </w:p>
    <w:p>
      <w:pPr>
        <w:pStyle w:val="Compact"/>
        <w:numPr>
          <w:ilvl w:val="0"/>
          <w:numId w:val="1003"/>
        </w:numPr>
      </w:pPr>
      <w:r>
        <w:t xml:space="preserve">Подготовлены две взаимосвязанные модели: событийная и детерминированная.</w:t>
      </w:r>
    </w:p>
    <w:p>
      <w:pPr>
        <w:pStyle w:val="Compact"/>
        <w:numPr>
          <w:ilvl w:val="0"/>
          <w:numId w:val="1003"/>
        </w:numPr>
      </w:pPr>
      <w:r>
        <w:t xml:space="preserve">Выполнен основной прогон с синхронной записью сравниваемых траекторий.</w:t>
      </w:r>
    </w:p>
    <w:p>
      <w:pPr>
        <w:pStyle w:val="Compact"/>
        <w:numPr>
          <w:ilvl w:val="0"/>
          <w:numId w:val="1003"/>
        </w:numPr>
      </w:pPr>
      <w:r>
        <w:t xml:space="preserve">Сформирован набор экспериментов по коэффициенту заражения.</w:t>
      </w:r>
    </w:p>
    <w:p>
      <w:pPr>
        <w:pStyle w:val="Compact"/>
        <w:numPr>
          <w:ilvl w:val="0"/>
          <w:numId w:val="1003"/>
        </w:numPr>
      </w:pPr>
      <w:r>
        <w:t xml:space="preserve">Построены графики сравнения и чувствительности модели к параметрам.</w:t>
      </w:r>
    </w:p>
    <w:p>
      <w:pPr>
        <w:pStyle w:val="Compact"/>
        <w:numPr>
          <w:ilvl w:val="0"/>
          <w:numId w:val="1003"/>
        </w:numPr>
      </w:pPr>
      <w:r>
        <w:t xml:space="preserve">Подготовлена интерпретация различий между постановками.</w:t>
      </w:r>
    </w:p>
    <w:bookmarkEnd w:id="13"/>
    <w:bookmarkStart w:id="22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Сравнение детерминированной и событийной траекторий" title="" id="15" name="Picture"/>
            <a:graphic>
              <a:graphicData uri="http://schemas.openxmlformats.org/drawingml/2006/picture">
                <pic:pic>
                  <pic:nvPicPr>
                    <pic:cNvPr descr="../results/figures/des_sir_compa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Сравнение детерминированной и событийной траекторий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Изменение пика инфекции при варьировании коэффициента заражения" title="" id="18" name="Picture"/>
            <a:graphic>
              <a:graphicData uri="http://schemas.openxmlformats.org/drawingml/2006/picture">
                <pic:pic>
                  <pic:nvPicPr>
                    <pic:cNvPr descr="../results/figures/des_sir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Изменение пика инфекции при варьировании коэффициента заражения</w:t>
      </w:r>
    </w:p>
    <w:bookmarkStart w:id="20" w:name="Xcfe8a5ef7e324286b2478d2c2793cfc2a01bd25"/>
    <w:p>
      <w:pPr>
        <w:pStyle w:val="Heading3"/>
      </w:pPr>
      <w:r>
        <w:t xml:space="preserve">Фрагмент таблицы сравнения событийной и детерминированной SIR-моделей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I_det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6.579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12.676</w:t>
            </w:r>
          </w:p>
        </w:tc>
      </w:tr>
    </w:tbl>
    <w:bookmarkEnd w:id="20"/>
    <w:bookmarkStart w:id="21" w:name="сводная-таблица-основных-результатов"/>
    <w:p>
      <w:pPr>
        <w:pStyle w:val="Heading3"/>
      </w:pPr>
      <w:r>
        <w:t xml:space="preserve">Сводная таблица основных результатов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peak_infected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</w:tbl>
    <w:bookmarkEnd w:id="21"/>
    <w:bookmarkEnd w:id="22"/>
    <w:bookmarkStart w:id="23" w:name="анализ-и-интерпретация-результатов"/>
    <w:p>
      <w:pPr>
        <w:pStyle w:val="Heading2"/>
      </w:pPr>
      <w:r>
        <w:t xml:space="preserve">Анализ и интерпретация результатов</w:t>
      </w:r>
    </w:p>
    <w:p>
      <w:pPr>
        <w:pStyle w:val="Compact"/>
        <w:numPr>
          <w:ilvl w:val="0"/>
          <w:numId w:val="1004"/>
        </w:numPr>
      </w:pPr>
      <w:r>
        <w:t xml:space="preserve">На сравнительном графике видно, что событийная траектория сохраняет общую форму детерминированной кривой, но демонстрирует локальные флуктуации и дискретность изменений.</w:t>
      </w:r>
    </w:p>
    <w:p>
      <w:pPr>
        <w:pStyle w:val="Compact"/>
        <w:numPr>
          <w:ilvl w:val="0"/>
          <w:numId w:val="1004"/>
        </w:numPr>
      </w:pPr>
      <w:r>
        <w:t xml:space="preserve">При увеличении beta эпидемический пик возрастает, что подтверждает ожидаемую чувствительность модели к интенсивности заражения.</w:t>
      </w:r>
    </w:p>
    <w:p>
      <w:pPr>
        <w:pStyle w:val="Compact"/>
        <w:numPr>
          <w:ilvl w:val="0"/>
          <w:numId w:val="1004"/>
        </w:numPr>
      </w:pPr>
      <w:r>
        <w:t xml:space="preserve">Работа показывает, что событийное моделирование даёт более вариативное и прикладное представление об эпидемическом процессе, особенно при конечной популяции.</w:t>
      </w:r>
    </w:p>
    <w:bookmarkEnd w:id="23"/>
    <w:bookmarkStart w:id="24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5"/>
        </w:numPr>
      </w:pPr>
      <w:r>
        <w:t xml:space="preserve">Проведено содержательное сравнение событийной и детерминированной SIR-моделей.</w:t>
      </w:r>
    </w:p>
    <w:p>
      <w:pPr>
        <w:pStyle w:val="Compact"/>
        <w:numPr>
          <w:ilvl w:val="0"/>
          <w:numId w:val="1005"/>
        </w:numPr>
      </w:pPr>
      <w:r>
        <w:t xml:space="preserve">Подтверждено влияние коэффициента заражения на высоту эпидемического пика.</w:t>
      </w:r>
    </w:p>
    <w:p>
      <w:pPr>
        <w:pStyle w:val="Compact"/>
        <w:numPr>
          <w:ilvl w:val="0"/>
          <w:numId w:val="1005"/>
        </w:numPr>
      </w:pPr>
      <w:r>
        <w:t xml:space="preserve">Событийная постановка показала свою полезность для анализа случайных эпидемических сценариев.</w:t>
      </w:r>
    </w:p>
    <w:bookmarkEnd w:id="24"/>
    <w:bookmarkStart w:id="25" w:name="листинг-программы"/>
    <w:p>
      <w:pPr>
        <w:pStyle w:val="Heading2"/>
      </w:pPr>
      <w:r>
        <w:t xml:space="preserve">Листинг программы</w:t>
      </w:r>
    </w:p>
    <w:p>
      <w:pPr>
        <w:pStyle w:val="SourceCode"/>
      </w:pPr>
      <w:r>
        <w:rPr>
          <w:rStyle w:val="CommentTok"/>
        </w:rPr>
        <w:t xml:space="preserve"># Этот файл сгенерирован автоматически из qmd-источника.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br/>
      </w:r>
      <w:r>
        <w:br/>
      </w:r>
      <w:r>
        <w:rPr>
          <w:rStyle w:val="NormalTok"/>
        </w:rPr>
        <w:t xml:space="preserve">results_dir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(results_dir)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31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(path, headers, rows)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(headers,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.(row),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rk4_step</w:t>
      </w:r>
      <w:r>
        <w:rPr>
          <w:rStyle w:val="NormalTok"/>
        </w:rPr>
        <w:t xml:space="preserve">(f, t, y, h)</w:t>
      </w:r>
      <w:r>
        <w:br/>
      </w:r>
      <w:r>
        <w:rPr>
          <w:rStyle w:val="NormalTok"/>
        </w:rPr>
        <w:t xml:space="preserve">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(t, y)</w:t>
      </w:r>
      <w:r>
        <w:br/>
      </w:r>
      <w:r>
        <w:rPr>
          <w:rStyle w:val="NormalTok"/>
        </w:rPr>
        <w:t xml:space="preserve">   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h, y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k3)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k3 </w:t>
      </w:r>
      <w:r>
        <w:rPr>
          <w:rStyle w:val="OperatorTok"/>
        </w:rPr>
        <w:t xml:space="preserve">.+</w:t>
      </w:r>
      <w:r>
        <w:rPr>
          <w:rStyle w:val="NormalTok"/>
        </w:rPr>
        <w:t xml:space="preserve"> k4)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 </w:t>
      </w:r>
      <w:r>
        <w:rPr>
          <w:rStyle w:val="FloatTok"/>
        </w:rPr>
        <w:t xml:space="preserve">6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simulate_des</w:t>
      </w:r>
      <w:r>
        <w:rPr>
          <w:rStyle w:val="NormalTok"/>
        </w:rPr>
        <w:t xml:space="preserve">(; 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95</w:t>
      </w:r>
      <w:r>
        <w:rPr>
          <w:rStyle w:val="NormalTok"/>
        </w:rPr>
        <w:t xml:space="preserve">, i0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t_max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S, I,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s0, i0,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{Tuple{Float64, Int, Int, Int}}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t_max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(t, S, I, R))</w:t>
      </w:r>
      <w:r>
        <w:br/>
      </w:r>
      <w:r>
        <w:rPr>
          <w:rStyle w:val="NormalTok"/>
        </w:rPr>
        <w:t xml:space="preserve">        infection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recovery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infection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recovery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-log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infection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(t, S, I, R))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simulate_det</w:t>
      </w:r>
      <w:r>
        <w:rPr>
          <w:rStyle w:val="NormalTok"/>
        </w:rPr>
        <w:t xml:space="preserve">(; 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95.0</w:t>
      </w:r>
      <w:r>
        <w:rPr>
          <w:rStyle w:val="NormalTok"/>
        </w:rPr>
        <w:t xml:space="preserve">, i0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t_max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NormalTok"/>
        </w:rPr>
        <w:t xml:space="preserve">,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[s0, i0,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(t, y)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s, i,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    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N,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i,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h))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{Tuple{Float64, Float64, Float64, Float64}}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(t, 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y[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rk4_step</w:t>
      </w:r>
      <w:r>
        <w:rPr>
          <w:rStyle w:val="NormalTok"/>
        </w:rPr>
        <w:t xml:space="preserve">(f, t, y, h)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des_rows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simulate_det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compare_rows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60.0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des_idx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des_idx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(des_rows)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des_rows[des_idx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   des_idx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det_idx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(compare_rows, 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"%.2f"</w:t>
      </w:r>
      <w:r>
        <w:rPr>
          <w:rStyle w:val="NormalTok"/>
        </w:rPr>
        <w:t xml:space="preserve">, t),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(des_rows[des_idx][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]), 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"%.4f"</w:t>
      </w:r>
      <w:r>
        <w:rPr>
          <w:rStyle w:val="NormalTok"/>
        </w:rPr>
        <w:t xml:space="preserve">, det_rows[det_idx][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"des_sir_compare.csv"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"I_des"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"I_det"</w:t>
      </w:r>
      <w:r>
        <w:rPr>
          <w:rStyle w:val="NormalTok"/>
        </w:rPr>
        <w:t xml:space="preserve">], compare_rows)</w:t>
      </w:r>
      <w:r>
        <w:br/>
      </w:r>
      <w:r>
        <w:br/>
      </w:r>
      <w:r>
        <w:rPr>
          <w:rStyle w:val="NormalTok"/>
        </w:rPr>
        <w:t xml:space="preserve">sweep_rows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0.24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0.06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0.54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simulate_des</w:t>
      </w:r>
      <w:r>
        <w:rPr>
          <w:rStyle w:val="NormalTok"/>
        </w:rPr>
        <w:t xml:space="preserve">(beta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beta)</w:t>
      </w:r>
      <w:r>
        <w:br/>
      </w:r>
      <w:r>
        <w:rPr>
          <w:rStyle w:val="NormalTok"/>
        </w:rPr>
        <w:t xml:space="preserve">    peak_i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getindex</w:t>
      </w:r>
      <w:r>
        <w:rPr>
          <w:rStyle w:val="NormalTok"/>
        </w:rPr>
        <w:t xml:space="preserve">.(rows, </w:t>
      </w:r>
      <w:r>
        <w:rPr>
          <w:rStyle w:val="Float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(sweep_rows, 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"%.2f"</w:t>
      </w:r>
      <w:r>
        <w:rPr>
          <w:rStyle w:val="NormalTok"/>
        </w:rPr>
        <w:t xml:space="preserve">, beta),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(peak_i)])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"des_sir_sweep.csv"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"peak_infected"</w:t>
      </w:r>
      <w:r>
        <w:rPr>
          <w:rStyle w:val="NormalTok"/>
        </w:rPr>
        <w:t xml:space="preserve">], sweep_rows)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"lab08 done"</w:t>
      </w:r>
      <w:r>
        <w:rPr>
          <w:rStyle w:val="NormalTok"/>
        </w:rPr>
        <w:t xml:space="preserve">)</w:t>
      </w:r>
    </w:p>
    <w:bookmarkEnd w:id="25"/>
    <w:bookmarkStart w:id="26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r>
        <w:t xml:space="preserve">Jerry Banks and John Carson and Barry Nelson and David Nicol. Discrete-Event System Simulation. Prentice Hall, 2010.</w:t>
      </w:r>
    </w:p>
    <w:p>
      <w:pPr>
        <w:pStyle w:val="Compact"/>
        <w:numPr>
          <w:ilvl w:val="0"/>
          <w:numId w:val="1006"/>
        </w:numPr>
      </w:pPr>
      <w:r>
        <w:t xml:space="preserve">William O. Kermack and Anderson G. McKendrick. A Contribution to the Mathematical Theory of Epidemics. Proceedings of the Royal Society A, 1927.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2026-06-21T23:06:54Z</dcterms:created>
  <dcterms:modified xsi:type="dcterms:W3CDTF">2026-06-21T23:06:54Z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