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2.-основные-модели"/>
    <w:p>
      <w:pPr>
        <w:pStyle w:val="Heading1"/>
      </w:pPr>
      <w:r>
        <w:t xml:space="preserve">Лабораторная работа 2. Основные модели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№2</w:t>
      </w:r>
    </w:p>
    <w:p>
      <w:pPr>
        <w:pStyle w:val="BodyText"/>
      </w:pPr>
      <w:r>
        <w:t xml:space="preserve">«SIR и Лотка–Вольтерра»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Исследовать детерминированные модели распространения инфекции и взаимодействия хищник–жертва.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Динамика SIR-модели" title="" id="13" name="Picture"/>
            <a:graphic>
              <a:graphicData uri="http://schemas.openxmlformats.org/drawingml/2006/picture">
                <pic:pic>
                  <pic:nvPicPr>
                    <pic:cNvPr descr="../results/figures/sir_dynam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Динамика SIR-модели</w:t>
      </w:r>
    </w:p>
    <w:p>
      <w:pPr>
        <w:pStyle w:val="BodyText"/>
      </w:pPr>
      <w:r>
        <w:drawing>
          <wp:inline>
            <wp:extent cx="5334000" cy="2453640"/>
            <wp:effectExtent b="0" l="0" r="0" t="0"/>
            <wp:docPr descr="Фазовый портрет и временные ряды модели Лотки–Вольтерры" title="" id="16" name="Picture"/>
            <a:graphic>
              <a:graphicData uri="http://schemas.openxmlformats.org/drawingml/2006/picture">
                <pic:pic>
                  <pic:nvPicPr>
                    <pic:cNvPr descr="../results/figures/lotka_volter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Фазовый портрет и временные ряды модели Лотки–Вольтерры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Пик зараженных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пика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p>
      <w:pPr>
        <w:pStyle w:val="Compact"/>
        <w:numPr>
          <w:ilvl w:val="0"/>
          <w:numId w:val="1002"/>
        </w:numPr>
      </w:pPr>
      <w:r>
        <w:t xml:space="preserve">Alfred J. Lotka. Elements of Physical Biology. Williams and Wilkins, 1925.</w:t>
      </w:r>
    </w:p>
    <w:p>
      <w:pPr>
        <w:pStyle w:val="Compact"/>
        <w:numPr>
          <w:ilvl w:val="0"/>
          <w:numId w:val="1002"/>
        </w:numPr>
      </w:pPr>
      <w:r>
        <w:t xml:space="preserve">Vito Volterra. Variazioni e fluttuazioni del numero d’individui in specie animali conviventi. Memorie della Reale Accademia Nazionale dei Lincei, 1926.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2026-06-21T15:16:46Z</dcterms:created>
  <dcterms:modified xsi:type="dcterms:W3CDTF">2026-06-21T15:16:46Z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