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5ae7be3af04d7011be5f024b1bae1ba3e68186a"/>
    <w:p>
      <w:pPr>
        <w:pStyle w:val="Heading1"/>
      </w:pPr>
      <w:r>
        <w:t xml:space="preserve">Лабораторная работа 3. Агентное моделирование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№3</w:t>
      </w:r>
    </w:p>
    <w:p>
      <w:pPr>
        <w:pStyle w:val="BodyText"/>
      </w:pPr>
      <w:r>
        <w:t xml:space="preserve">«Модель Daisyworld»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Построить агентную клеточную модель Daisyworld и изучить механизм климатической саморегуляции.</w:t>
      </w:r>
    </w:p>
    <w:bookmarkEnd w:id="9"/>
    <w:bookmarkStart w:id="10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Работа опирается на классические модели и публикации по теме имитационного моделирования. Для лабораторной работы сохранён воспроизводимый подход: основной сценарий хранится в</w:t>
      </w:r>
      <w:r>
        <w:t xml:space="preserve"> </w:t>
      </w:r>
      <w:r>
        <w:rPr>
          <w:rStyle w:val="VerbatimChar"/>
        </w:rPr>
        <w:t xml:space="preserve">qmd</w:t>
      </w:r>
      <w:r>
        <w:t xml:space="preserve">, из него автоматически формируются чистый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-код, ноутбук</w:t>
      </w:r>
      <w:r>
        <w:t xml:space="preserve"> </w:t>
      </w:r>
      <w:r>
        <w:rPr>
          <w:rStyle w:val="VerbatimChar"/>
        </w:rPr>
        <w:t xml:space="preserve">ipynb</w:t>
      </w:r>
      <w:r>
        <w:t xml:space="preserve"> </w:t>
      </w:r>
      <w:r>
        <w:t xml:space="preserve">и итоговые отчётные материалы.</w:t>
      </w:r>
    </w:p>
    <w:bookmarkEnd w:id="10"/>
    <w:bookmarkStart w:id="11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1"/>
        </w:numPr>
      </w:pPr>
      <w:r>
        <w:t xml:space="preserve">Подготовлен литературный источник в формате</w:t>
      </w:r>
      <w:r>
        <w:t xml:space="preserve"> </w:t>
      </w:r>
      <w:r>
        <w:rPr>
          <w:rStyle w:val="VerbatimChar"/>
        </w:rPr>
        <w:t xml:space="preserve">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 источника автоматически извлечён исполняемый код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Проведён вычислительный эксперимент и сохранены табличные результаты.</w:t>
      </w:r>
    </w:p>
    <w:p>
      <w:pPr>
        <w:pStyle w:val="Compact"/>
        <w:numPr>
          <w:ilvl w:val="0"/>
          <w:numId w:val="1001"/>
        </w:numPr>
      </w:pPr>
      <w:r>
        <w:t xml:space="preserve">На основе результатов построены графики и подготовлены материалы для отчёта и презентации.</w:t>
      </w:r>
    </w:p>
    <w:bookmarkEnd w:id="11"/>
    <w:bookmarkStart w:id="18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Численность маргариток и температура среды во времени" title="" id="13" name="Picture"/>
            <a:graphic>
              <a:graphicData uri="http://schemas.openxmlformats.org/drawingml/2006/picture">
                <pic:pic>
                  <pic:nvPicPr>
                    <pic:cNvPr descr="../results/figures/daisy_timeserie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Численность маргариток и температура среды во времени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Зависимость итоговой температуры от светимости" title="" id="16" name="Picture"/>
            <a:graphic>
              <a:graphicData uri="http://schemas.openxmlformats.org/drawingml/2006/picture">
                <pic:pic>
                  <pic:nvPicPr>
                    <pic:cNvPr descr="../results/figures/daisy_swee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Зависимость итоговой температуры от светимости</w:t>
      </w:r>
    </w:p>
    <w:p>
      <w:pPr>
        <w:pStyle w:val="BodyText"/>
      </w:pPr>
      <w:r>
        <w:t xml:space="preserve">Таблица основных результатов: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luminosity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final_temperature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final_black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final_white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18"/>
    <w:bookmarkStart w:id="19" w:name="анализ-результатов"/>
    <w:p>
      <w:pPr>
        <w:pStyle w:val="Heading2"/>
      </w:pPr>
      <w:r>
        <w:t xml:space="preserve">Анализ результатов</w:t>
      </w:r>
    </w:p>
    <w:p>
      <w:pPr>
        <w:pStyle w:val="FirstParagraph"/>
      </w:pPr>
      <w:r>
        <w:t xml:space="preserve">Первый график отражает основную динамику исследуемой модели, а второй показывает чувствительность результата к изменению параметров. По полученным траекториям видно, что модель устойчиво воспроизводит ожидаемое качественное поведение системы и подходит для сравнительного анализа сценариев.</w:t>
      </w:r>
    </w:p>
    <w:bookmarkEnd w:id="19"/>
    <w:bookmarkStart w:id="2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 полный воспроизводимый комплект материалов: литературный источник, исполняемый код, ноутбук, отчёт, презентация и архив исходных данных. Единая автоматическая сборка позволяет быстро обновлять результаты после изменения параметров эксперимента.</w:t>
      </w:r>
    </w:p>
    <w:bookmarkEnd w:id="20"/>
    <w:bookmarkStart w:id="21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James E. Lovelock and Andrew J. Watson. Biological homeostasis of the global environment: the parable of Daisyworld. Tellus B, 1983.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2026-06-21T15:16:48Z</dcterms:created>
  <dcterms:modified xsi:type="dcterms:W3CDTF">2026-06-21T15:16:48Z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