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лабораторная-работа-4.-агентный-sir"/>
    <w:p>
      <w:pPr>
        <w:pStyle w:val="Heading1"/>
      </w:pPr>
      <w:r>
        <w:t xml:space="preserve">Лабораторная работа 4. Агентный SIR</w:t>
      </w:r>
    </w:p>
    <w:p>
      <w:pPr>
        <w:pStyle w:val="FirstParagraph"/>
      </w:pPr>
      <w:r>
        <w:t xml:space="preserve">ОТЧЁТ</w:t>
      </w:r>
    </w:p>
    <w:p>
      <w:pPr>
        <w:pStyle w:val="BodyText"/>
      </w:pPr>
      <w:r>
        <w:t xml:space="preserve">по лабораторной работе №4</w:t>
      </w:r>
    </w:p>
    <w:p>
      <w:pPr>
        <w:pStyle w:val="BodyText"/>
      </w:pPr>
      <w:r>
        <w:t xml:space="preserve">«Эпидемиологическая модель в агентном подходе»</w:t>
      </w:r>
    </w:p>
    <w:p>
      <w:pPr>
        <w:pStyle w:val="BodyText"/>
      </w:pPr>
      <w:r>
        <w:t xml:space="preserve">по дисциплине «Имитационное моделирование»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Студент</w:t>
            </w:r>
          </w:p>
        </w:tc>
        <w:tc>
          <w:tcPr/>
          <w:p>
            <w:pPr>
              <w:pStyle w:val="Compact"/>
            </w:pPr>
            <w:r>
              <w:t xml:space="preserve">Исаева Зарина Исмайилбековна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</w:pPr>
            <w:r>
              <w:t xml:space="preserve">НКНбд–01–23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Преподаватель</w:t>
            </w:r>
          </w:p>
        </w:tc>
        <w:tc>
          <w:tcPr/>
          <w:p>
            <w:pPr>
              <w:pStyle w:val="Compact"/>
            </w:pPr>
            <w:r>
              <w:t xml:space="preserve">Кулябов Дмитрий Сергеевич, преподаватель дисциплины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Организация</w:t>
            </w:r>
          </w:p>
        </w:tc>
        <w:tc>
          <w:tcPr/>
          <w:p>
            <w:pPr>
              <w:pStyle w:val="Compact"/>
            </w:pPr>
            <w:r>
              <w:t xml:space="preserve">Российский университет дружбы народов имени Патриса Лумумбы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Год</w:t>
            </w:r>
          </w:p>
        </w:tc>
        <w:tc>
          <w:tcPr/>
          <w:p>
            <w:pPr>
              <w:pStyle w:val="Compact"/>
            </w:pPr>
            <w:r>
              <w:t xml:space="preserve">2026</w:t>
            </w:r>
          </w:p>
        </w:tc>
      </w:tr>
    </w:tbl>
    <w:bookmarkStart w:id="9" w:name="цель-работы"/>
    <w:p>
      <w:pPr>
        <w:pStyle w:val="Heading2"/>
      </w:pPr>
      <w:r>
        <w:t xml:space="preserve">Цель работы</w:t>
      </w:r>
    </w:p>
    <w:p>
      <w:pPr>
        <w:pStyle w:val="FirstParagraph"/>
      </w:pPr>
      <w:r>
        <w:t xml:space="preserve">Реализовать агентную SIR-модель с несколькими городами и миграцией агентов.</w:t>
      </w:r>
    </w:p>
    <w:bookmarkEnd w:id="9"/>
    <w:bookmarkStart w:id="10" w:name="теоретические-сведения"/>
    <w:p>
      <w:pPr>
        <w:pStyle w:val="Heading2"/>
      </w:pPr>
      <w:r>
        <w:t xml:space="preserve">Теоретические сведения</w:t>
      </w:r>
    </w:p>
    <w:p>
      <w:pPr>
        <w:pStyle w:val="FirstParagraph"/>
      </w:pPr>
      <w:r>
        <w:t xml:space="preserve">Работа опирается на классические модели и публикации по теме имитационного моделирования. Для лабораторной работы сохранён воспроизводимый подход: основной сценарий хранится в</w:t>
      </w:r>
      <w:r>
        <w:t xml:space="preserve"> </w:t>
      </w:r>
      <w:r>
        <w:rPr>
          <w:rStyle w:val="VerbatimChar"/>
        </w:rPr>
        <w:t xml:space="preserve">qmd</w:t>
      </w:r>
      <w:r>
        <w:t xml:space="preserve">, из него автоматически формируются чистый</w:t>
      </w:r>
      <w:r>
        <w:t xml:space="preserve"> </w:t>
      </w:r>
      <w:r>
        <w:rPr>
          <w:rStyle w:val="VerbatimChar"/>
        </w:rPr>
        <w:t xml:space="preserve">Julia</w:t>
      </w:r>
      <w:r>
        <w:t xml:space="preserve">-код, ноутбук</w:t>
      </w:r>
      <w:r>
        <w:t xml:space="preserve"> </w:t>
      </w:r>
      <w:r>
        <w:rPr>
          <w:rStyle w:val="VerbatimChar"/>
        </w:rPr>
        <w:t xml:space="preserve">ipynb</w:t>
      </w:r>
      <w:r>
        <w:t xml:space="preserve"> </w:t>
      </w:r>
      <w:r>
        <w:t xml:space="preserve">и итоговые отчётные материалы.</w:t>
      </w:r>
    </w:p>
    <w:bookmarkEnd w:id="10"/>
    <w:bookmarkStart w:id="11" w:name="ход-выполнения"/>
    <w:p>
      <w:pPr>
        <w:pStyle w:val="Heading2"/>
      </w:pPr>
      <w:r>
        <w:t xml:space="preserve">Ход выполнения</w:t>
      </w:r>
    </w:p>
    <w:p>
      <w:pPr>
        <w:pStyle w:val="Compact"/>
        <w:numPr>
          <w:ilvl w:val="0"/>
          <w:numId w:val="1001"/>
        </w:numPr>
      </w:pPr>
      <w:r>
        <w:t xml:space="preserve">Подготовлен литературный источник в формате</w:t>
      </w:r>
      <w:r>
        <w:t xml:space="preserve"> </w:t>
      </w:r>
      <w:r>
        <w:rPr>
          <w:rStyle w:val="VerbatimChar"/>
        </w:rPr>
        <w:t xml:space="preserve">qmd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Из источника автоматически извлечён исполняемый код</w:t>
      </w:r>
      <w:r>
        <w:t xml:space="preserve"> </w:t>
      </w:r>
      <w:r>
        <w:rPr>
          <w:rStyle w:val="VerbatimChar"/>
        </w:rPr>
        <w:t xml:space="preserve">Julia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Проведён вычислительный эксперимент и сохранены табличные результаты.</w:t>
      </w:r>
    </w:p>
    <w:p>
      <w:pPr>
        <w:pStyle w:val="Compact"/>
        <w:numPr>
          <w:ilvl w:val="0"/>
          <w:numId w:val="1001"/>
        </w:numPr>
      </w:pPr>
      <w:r>
        <w:t xml:space="preserve">На основе результатов построены графики и подготовлены материалы для отчёта и презентации.</w:t>
      </w:r>
    </w:p>
    <w:bookmarkEnd w:id="11"/>
    <w:bookmarkStart w:id="18" w:name="результаты-моделирования"/>
    <w:p>
      <w:pPr>
        <w:pStyle w:val="Heading2"/>
      </w:pPr>
      <w:r>
        <w:t xml:space="preserve">Результаты моделирования</w:t>
      </w:r>
    </w:p>
    <w:p>
      <w:pPr>
        <w:pStyle w:val="FirstParagraph"/>
      </w:pPr>
      <w:r>
        <w:drawing>
          <wp:inline>
            <wp:extent cx="5334000" cy="3200399"/>
            <wp:effectExtent b="0" l="0" r="0" t="0"/>
            <wp:docPr descr="Динамика состояний S, I и R в агентной модели" title="" id="13" name="Picture"/>
            <a:graphic>
              <a:graphicData uri="http://schemas.openxmlformats.org/drawingml/2006/picture">
                <pic:pic>
                  <pic:nvPicPr>
                    <pic:cNvPr descr="../results/figures/agent_sir_main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3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Рисунок 1 — Динамика состояний S, I и R в агентной модели</w:t>
      </w:r>
    </w:p>
    <w:p>
      <w:pPr>
        <w:pStyle w:val="BodyText"/>
      </w:pPr>
      <w:r>
        <w:drawing>
          <wp:inline>
            <wp:extent cx="5334000" cy="3200399"/>
            <wp:effectExtent b="0" l="0" r="0" t="0"/>
            <wp:docPr descr="Влияние интенсивности миграции на пик инфекции" title="" id="16" name="Picture"/>
            <a:graphic>
              <a:graphicData uri="http://schemas.openxmlformats.org/drawingml/2006/picture">
                <pic:pic>
                  <pic:nvPicPr>
                    <pic:cNvPr descr="../results/figures/agent_sir_sweep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3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Рисунок 2 — Влияние интенсивности миграции на пик инфекции</w:t>
      </w:r>
    </w:p>
    <w:p>
      <w:pPr>
        <w:pStyle w:val="BodyText"/>
      </w:pPr>
      <w:r>
        <w:t xml:space="preserve">Таблица основных результатов: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migration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peak_infected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</w:t>
            </w:r>
          </w:p>
        </w:tc>
      </w:tr>
    </w:tbl>
    <w:bookmarkEnd w:id="18"/>
    <w:bookmarkStart w:id="19" w:name="анализ-результатов"/>
    <w:p>
      <w:pPr>
        <w:pStyle w:val="Heading2"/>
      </w:pPr>
      <w:r>
        <w:t xml:space="preserve">Анализ результатов</w:t>
      </w:r>
    </w:p>
    <w:p>
      <w:pPr>
        <w:pStyle w:val="FirstParagraph"/>
      </w:pPr>
      <w:r>
        <w:t xml:space="preserve">Первый график отражает основную динамику исследуемой модели, а второй показывает чувствительность результата к изменению параметров. По полученным траекториям видно, что модель устойчиво воспроизводит ожидаемое качественное поведение системы и подходит для сравнительного анализа сценариев.</w:t>
      </w:r>
    </w:p>
    <w:bookmarkEnd w:id="19"/>
    <w:bookmarkStart w:id="20" w:name="выводы"/>
    <w:p>
      <w:pPr>
        <w:pStyle w:val="Heading2"/>
      </w:pPr>
      <w:r>
        <w:t xml:space="preserve">Выводы</w:t>
      </w:r>
    </w:p>
    <w:p>
      <w:pPr>
        <w:pStyle w:val="FirstParagraph"/>
      </w:pPr>
      <w:r>
        <w:t xml:space="preserve">В ходе выполнения лабораторной работы получен полный воспроизводимый комплект материалов: литературный источник, исполняемый код, ноутбук, отчёт, презентация и архив исходных данных. Единая автоматическая сборка позволяет быстро обновлять результаты после изменения параметров эксперимента.</w:t>
      </w:r>
    </w:p>
    <w:bookmarkEnd w:id="20"/>
    <w:bookmarkStart w:id="21" w:name="список-литературы"/>
    <w:p>
      <w:pPr>
        <w:pStyle w:val="Heading2"/>
      </w:pPr>
      <w:r>
        <w:t xml:space="preserve">Список литературы</w:t>
      </w:r>
    </w:p>
    <w:p>
      <w:pPr>
        <w:pStyle w:val="Compact"/>
        <w:numPr>
          <w:ilvl w:val="0"/>
          <w:numId w:val="1002"/>
        </w:numPr>
      </w:pPr>
      <w:r>
        <w:t xml:space="preserve">William O. Kermack and Anderson G. McKendrick. A Contribution to the Mathematical Theory of Epidemics. Proceedings of the Royal Society A, 1927.</w:t>
      </w:r>
    </w:p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5" Target="media/rId1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2026-06-21T15:16:49Z</dcterms:created>
  <dcterms:modified xsi:type="dcterms:W3CDTF">2026-06-21T15:16:49Z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