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лабораторная-работа-5.-сети-петри"/>
    <w:p>
      <w:pPr>
        <w:pStyle w:val="Heading1"/>
      </w:pPr>
      <w:r>
        <w:t xml:space="preserve">Лабораторная работа 5. Сети Петри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№5</w:t>
      </w:r>
    </w:p>
    <w:p>
      <w:pPr>
        <w:pStyle w:val="BodyText"/>
      </w:pPr>
      <w:r>
        <w:t xml:space="preserve">«Задача обедающих философов»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Показать взаимосвязь маркировки сети Петри и проблем синхронизации на примере обедающих философов.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2453640"/>
            <wp:effectExtent b="0" l="0" r="0" t="0"/>
            <wp:docPr descr="Сравнение числа философов в состоянии ожидания и еды" title="" id="13" name="Picture"/>
            <a:graphic>
              <a:graphicData uri="http://schemas.openxmlformats.org/drawingml/2006/picture">
                <pic:pic>
                  <pic:nvPicPr>
                    <pic:cNvPr descr="../results/figures/philosophers_stat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Сравнение числа философов в состоянии ожидания и еды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Сравнение пропускной способности стратегий для разных размеров стола" title="" id="16" name="Picture"/>
            <a:graphic>
              <a:graphicData uri="http://schemas.openxmlformats.org/drawingml/2006/picture">
                <pic:pic>
                  <pic:nvPicPr>
                    <pic:cNvPr descr="../results/figures/philosophers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Сравнение пропускной способности стратегий для разных размеров стола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philosophers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1.896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Tadao Murata. Petri Nets: Properties, Analysis and Applications. Proceedings of the IEEE, 1989.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2026-06-21T15:16:50Z</dcterms:created>
  <dcterms:modified xsi:type="dcterms:W3CDTF">2026-06-21T15:16:50Z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