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54a88f49990fe157e4e76cf8c7f07225f0e9f3"/>
    <w:p>
      <w:pPr>
        <w:pStyle w:val="Heading1"/>
      </w:pPr>
      <w:r>
        <w:t xml:space="preserve">Лабораторная работа 8. Дискретно-событийный SIR</w:t>
      </w:r>
    </w:p>
    <w:p>
      <w:pPr>
        <w:pStyle w:val="FirstParagraph"/>
      </w:pPr>
      <w:r>
        <w:t xml:space="preserve">ОТЧЁТ</w:t>
      </w:r>
    </w:p>
    <w:p>
      <w:pPr>
        <w:pStyle w:val="BodyText"/>
      </w:pPr>
      <w:r>
        <w:t xml:space="preserve">по лабораторной работе №8</w:t>
      </w:r>
    </w:p>
    <w:p>
      <w:pPr>
        <w:pStyle w:val="BodyText"/>
      </w:pPr>
      <w:r>
        <w:t xml:space="preserve">«Сравнение событийной и детерминированной постановки»</w:t>
      </w:r>
    </w:p>
    <w:p>
      <w:pPr>
        <w:pStyle w:val="BodyText"/>
      </w:pPr>
      <w:r>
        <w:t xml:space="preserve">по дисциплине «Имитационное моделирование»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</w:pPr>
            <w:r>
              <w:t xml:space="preserve">Исаева Зарина Исмайилбековна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НКНбд–01–23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Преподаватель</w:t>
            </w:r>
          </w:p>
        </w:tc>
        <w:tc>
          <w:tcPr/>
          <w:p>
            <w:pPr>
              <w:pStyle w:val="Compact"/>
            </w:pPr>
            <w:r>
              <w:t xml:space="preserve">Кулябов Дмитрий Сергеевич, преподаватель дисциплины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Организация</w:t>
            </w:r>
          </w:p>
        </w:tc>
        <w:tc>
          <w:tcPr/>
          <w:p>
            <w:pPr>
              <w:pStyle w:val="Compact"/>
            </w:pPr>
            <w:r>
              <w:t xml:space="preserve">Российский университет дружбы народов имени Патриса Лумумбы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</w:tbl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Сравнить дискретно-событийную SIR-модель с детерминированной кривой и анализом чувствительности.</w:t>
      </w:r>
    </w:p>
    <w:bookmarkEnd w:id="9"/>
    <w:bookmarkStart w:id="10" w:name="теоретические-сведения"/>
    <w:p>
      <w:pPr>
        <w:pStyle w:val="Heading2"/>
      </w:pPr>
      <w:r>
        <w:t xml:space="preserve">Теоретические сведения</w:t>
      </w:r>
    </w:p>
    <w:p>
      <w:pPr>
        <w:pStyle w:val="FirstParagraph"/>
      </w:pPr>
      <w:r>
        <w:t xml:space="preserve">Работа опирается на классические модели и публикации по теме имитационного моделирования. Для лабораторной работы сохранён воспроизводимый подход: основной сценарий хранится в</w:t>
      </w:r>
      <w:r>
        <w:t xml:space="preserve"> </w:t>
      </w:r>
      <w:r>
        <w:rPr>
          <w:rStyle w:val="VerbatimChar"/>
        </w:rPr>
        <w:t xml:space="preserve">qmd</w:t>
      </w:r>
      <w:r>
        <w:t xml:space="preserve">, из него автоматически формируются чистый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-код, ноутбук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и итоговые отчётные материалы.</w:t>
      </w:r>
    </w:p>
    <w:bookmarkEnd w:id="10"/>
    <w:bookmarkStart w:id="11" w:name="ход-выполнения"/>
    <w:p>
      <w:pPr>
        <w:pStyle w:val="Heading2"/>
      </w:pPr>
      <w:r>
        <w:t xml:space="preserve">Ход выполнения</w:t>
      </w:r>
    </w:p>
    <w:p>
      <w:pPr>
        <w:pStyle w:val="Compact"/>
        <w:numPr>
          <w:ilvl w:val="0"/>
          <w:numId w:val="1001"/>
        </w:numPr>
      </w:pPr>
      <w:r>
        <w:t xml:space="preserve">Подготовлен литературный источник в формате</w:t>
      </w:r>
      <w:r>
        <w:t xml:space="preserve"> </w:t>
      </w:r>
      <w:r>
        <w:rPr>
          <w:rStyle w:val="VerbatimChar"/>
        </w:rPr>
        <w:t xml:space="preserve">qmd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 источника автоматически извлечён исполняемый код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Проведён вычислительный эксперимент и сохранены табличные результаты.</w:t>
      </w:r>
    </w:p>
    <w:p>
      <w:pPr>
        <w:pStyle w:val="Compact"/>
        <w:numPr>
          <w:ilvl w:val="0"/>
          <w:numId w:val="1001"/>
        </w:numPr>
      </w:pPr>
      <w:r>
        <w:t xml:space="preserve">На основе результатов построены графики и подготовлены материалы для отчёта и презентации.</w:t>
      </w:r>
    </w:p>
    <w:bookmarkEnd w:id="11"/>
    <w:bookmarkStart w:id="18" w:name="результаты-моделирования"/>
    <w:p>
      <w:pPr>
        <w:pStyle w:val="Heading2"/>
      </w:pPr>
      <w:r>
        <w:t xml:space="preserve">Результаты моделирования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Сравнение детерминированной и событийной траекторий" title="" id="13" name="Picture"/>
            <a:graphic>
              <a:graphicData uri="http://schemas.openxmlformats.org/drawingml/2006/picture">
                <pic:pic>
                  <pic:nvPicPr>
                    <pic:cNvPr descr="../results/figures/des_sir_compa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 — Сравнение детерминированной и событийной траекторий</w:t>
      </w:r>
    </w:p>
    <w:p>
      <w:pPr>
        <w:pStyle w:val="BodyText"/>
      </w:pPr>
      <w:r>
        <w:drawing>
          <wp:inline>
            <wp:extent cx="5334000" cy="3200399"/>
            <wp:effectExtent b="0" l="0" r="0" t="0"/>
            <wp:docPr descr="Изменение пика инфекции при варьировании коэффициента заражения" title="" id="16" name="Picture"/>
            <a:graphic>
              <a:graphicData uri="http://schemas.openxmlformats.org/drawingml/2006/picture">
                <pic:pic>
                  <pic:nvPicPr>
                    <pic:cNvPr descr="../results/figures/des_sir_sweep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 — Изменение пика инфекции при варьировании коэффициента заражения</w:t>
      </w:r>
    </w:p>
    <w:p>
      <w:pPr>
        <w:pStyle w:val="BodyText"/>
      </w:pPr>
      <w:r>
        <w:t xml:space="preserve">Таблица основных результатов: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peak_infected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</w:tbl>
    <w:bookmarkEnd w:id="18"/>
    <w:bookmarkStart w:id="19" w:name="анализ-результатов"/>
    <w:p>
      <w:pPr>
        <w:pStyle w:val="Heading2"/>
      </w:pPr>
      <w:r>
        <w:t xml:space="preserve">Анализ результатов</w:t>
      </w:r>
    </w:p>
    <w:p>
      <w:pPr>
        <w:pStyle w:val="FirstParagraph"/>
      </w:pPr>
      <w:r>
        <w:t xml:space="preserve">Первый график отражает основную динамику исследуемой модели, а второй показывает чувствительность результата к изменению параметров. По полученным траекториям видно, что модель устойчиво воспроизводит ожидаемое качественное поведение системы и подходит для сравнительного анализа сценариев.</w:t>
      </w:r>
    </w:p>
    <w:bookmarkEnd w:id="19"/>
    <w:bookmarkStart w:id="20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получен полный воспроизводимый комплект материалов: литературный источник, исполняемый код, ноутбук, отчёт, презентация и архив исходных данных. Единая автоматическая сборка позволяет быстро обновлять результаты после изменения параметров эксперимента.</w:t>
      </w:r>
    </w:p>
    <w:bookmarkEnd w:id="20"/>
    <w:bookmarkStart w:id="21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Jerry Banks and John Carson and Barry Nelson and David Nicol. Discrete-Event System Simulation. Prentice Hall, 2010.</w:t>
      </w:r>
    </w:p>
    <w:p>
      <w:pPr>
        <w:pStyle w:val="Compact"/>
        <w:numPr>
          <w:ilvl w:val="0"/>
          <w:numId w:val="1002"/>
        </w:numPr>
      </w:pPr>
      <w:r>
        <w:t xml:space="preserve">William O. Kermack and Anderson G. McKendrick. A Contribution to the Mathematical Theory of Epidemics. Proceedings of the Royal Society A, 1927.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2026-06-21T15:16:54Z</dcterms:created>
  <dcterms:modified xsi:type="dcterms:W3CDTF">2026-06-21T15:16:54Z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