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лабораторная-работа-2.-основные-модели"/>
    <w:p>
      <w:pPr>
        <w:pStyle w:val="Heading1"/>
      </w:pPr>
      <w:r>
        <w:t xml:space="preserve">Лабораторная работа 2. Основные модели</w:t>
      </w:r>
    </w:p>
    <w:p>
      <w:pPr>
        <w:pStyle w:val="FirstParagraph"/>
      </w:pPr>
      <w:r>
        <w:t xml:space="preserve">ОТЧЁТ</w:t>
      </w:r>
    </w:p>
    <w:p>
      <w:pPr>
        <w:pStyle w:val="BodyText"/>
      </w:pPr>
      <w:r>
        <w:t xml:space="preserve">по лабораторной работе №2</w:t>
      </w:r>
    </w:p>
    <w:p>
      <w:pPr>
        <w:pStyle w:val="BodyText"/>
      </w:pPr>
      <w:r>
        <w:t xml:space="preserve">«SIR и Лотка–Вольтерра»</w:t>
      </w:r>
    </w:p>
    <w:p>
      <w:pPr>
        <w:pStyle w:val="BodyText"/>
      </w:pPr>
      <w:r>
        <w:t xml:space="preserve">по дисциплине «Имитационное моделирование»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</w:pPr>
            <w:r>
              <w:t xml:space="preserve">Исаева Зарина Исмайилбековна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НКНбд–01–23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Преподаватель</w:t>
            </w:r>
          </w:p>
        </w:tc>
        <w:tc>
          <w:tcPr/>
          <w:p>
            <w:pPr>
              <w:pStyle w:val="Compact"/>
            </w:pPr>
            <w:r>
              <w:t xml:space="preserve">Кулябов Дмитрий Сергеевич, преподаватель дисциплины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</w:t>
            </w:r>
          </w:p>
        </w:tc>
        <w:tc>
          <w:tcPr/>
          <w:p>
            <w:pPr>
              <w:pStyle w:val="Compact"/>
            </w:pPr>
            <w:r>
              <w:t xml:space="preserve">Российский университет дружбы народов имени Патриса Лумумбы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bookmarkStart w:id="9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Исследовать детерминированные модели распространения инфекции и взаимодействия хищник–жертва.</w:t>
      </w:r>
    </w:p>
    <w:bookmarkEnd w:id="9"/>
    <w:bookmarkStart w:id="10" w:name="теоретические-сведения"/>
    <w:p>
      <w:pPr>
        <w:pStyle w:val="Heading2"/>
      </w:pPr>
      <w:r>
        <w:t xml:space="preserve">Теоретические сведения</w:t>
      </w:r>
    </w:p>
    <w:p>
      <w:pPr>
        <w:pStyle w:val="FirstParagraph"/>
      </w:pPr>
      <w:r>
        <w:t xml:space="preserve">Работа опирается на классические модели и публикации по теме имитационного моделирования. Для лабораторной работы сохранён воспроизводимый подход: основной сценарий хранится в</w:t>
      </w:r>
      <w:r>
        <w:t xml:space="preserve"> </w:t>
      </w:r>
      <w:r>
        <w:rPr>
          <w:rStyle w:val="VerbatimChar"/>
        </w:rPr>
        <w:t xml:space="preserve">qmd</w:t>
      </w:r>
      <w:r>
        <w:t xml:space="preserve">, из него автоматически формируются чистый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-код, ноутбук</w:t>
      </w:r>
      <w:r>
        <w:t xml:space="preserve"> </w:t>
      </w:r>
      <w:r>
        <w:rPr>
          <w:rStyle w:val="VerbatimChar"/>
        </w:rPr>
        <w:t xml:space="preserve">ipynb</w:t>
      </w:r>
      <w:r>
        <w:t xml:space="preserve"> </w:t>
      </w:r>
      <w:r>
        <w:t xml:space="preserve">и итоговые отчётные материалы.</w:t>
      </w:r>
    </w:p>
    <w:bookmarkEnd w:id="10"/>
    <w:bookmarkStart w:id="11" w:name="ход-выполнения"/>
    <w:p>
      <w:pPr>
        <w:pStyle w:val="Heading2"/>
      </w:pPr>
      <w:r>
        <w:t xml:space="preserve">Ход выполнения</w:t>
      </w:r>
    </w:p>
    <w:p>
      <w:pPr>
        <w:pStyle w:val="Compact"/>
        <w:numPr>
          <w:ilvl w:val="0"/>
          <w:numId w:val="1001"/>
        </w:numPr>
      </w:pPr>
      <w:r>
        <w:t xml:space="preserve">Подготовлен литературный источник в формате</w:t>
      </w:r>
      <w:r>
        <w:t xml:space="preserve"> </w:t>
      </w:r>
      <w:r>
        <w:rPr>
          <w:rStyle w:val="VerbatimChar"/>
        </w:rPr>
        <w:t xml:space="preserve">qmd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Из источника автоматически извлечён исполняемый код</w:t>
      </w:r>
      <w:r>
        <w:t xml:space="preserve"> </w:t>
      </w:r>
      <w:r>
        <w:rPr>
          <w:rStyle w:val="VerbatimChar"/>
        </w:rPr>
        <w:t xml:space="preserve">Julia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Проведён вычислительный эксперимент и сохранены табличные результаты.</w:t>
      </w:r>
    </w:p>
    <w:p>
      <w:pPr>
        <w:pStyle w:val="Compact"/>
        <w:numPr>
          <w:ilvl w:val="0"/>
          <w:numId w:val="1001"/>
        </w:numPr>
      </w:pPr>
      <w:r>
        <w:t xml:space="preserve">На основе результатов построены графики и подготовлены материалы для отчёта и презентации.</w:t>
      </w:r>
    </w:p>
    <w:bookmarkEnd w:id="11"/>
    <w:bookmarkStart w:id="18" w:name="результаты-моделирования"/>
    <w:p>
      <w:pPr>
        <w:pStyle w:val="Heading2"/>
      </w:pPr>
      <w:r>
        <w:t xml:space="preserve">Результаты моделирования</w:t>
      </w:r>
    </w:p>
    <w:p>
      <w:pPr>
        <w:pStyle w:val="FirstParagraph"/>
      </w:pPr>
      <w:r>
        <w:drawing>
          <wp:inline>
            <wp:extent cx="5334000" cy="3200399"/>
            <wp:effectExtent b="0" l="0" r="0" t="0"/>
            <wp:docPr descr="Динамика SIR-модели" title="" id="13" name="Picture"/>
            <a:graphic>
              <a:graphicData uri="http://schemas.openxmlformats.org/drawingml/2006/picture">
                <pic:pic>
                  <pic:nvPicPr>
                    <pic:cNvPr descr="../results/figures/sir_dynamics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1 — Динамика SIR-модели</w:t>
      </w:r>
    </w:p>
    <w:p>
      <w:pPr>
        <w:pStyle w:val="BodyText"/>
      </w:pPr>
      <w:r>
        <w:drawing>
          <wp:inline>
            <wp:extent cx="5334000" cy="2453640"/>
            <wp:effectExtent b="0" l="0" r="0" t="0"/>
            <wp:docPr descr="Фазовый портрет и временные ряды модели Лотки–Вольтерры" title="" id="16" name="Picture"/>
            <a:graphic>
              <a:graphicData uri="http://schemas.openxmlformats.org/drawingml/2006/picture">
                <pic:pic>
                  <pic:nvPicPr>
                    <pic:cNvPr descr="../results/figures/lotka_volterra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36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2 — Фазовый портрет и временные ряды модели Лотки–Вольтерры</w:t>
      </w:r>
    </w:p>
    <w:p>
      <w:pPr>
        <w:pStyle w:val="BodyText"/>
      </w:pPr>
      <w:r>
        <w:t xml:space="preserve">Таблица основных результатов: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Показатель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Пик зараженных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Время пика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16.4</w:t>
            </w:r>
          </w:p>
        </w:tc>
      </w:tr>
    </w:tbl>
    <w:bookmarkEnd w:id="18"/>
    <w:bookmarkStart w:id="19" w:name="анализ-результатов"/>
    <w:p>
      <w:pPr>
        <w:pStyle w:val="Heading2"/>
      </w:pPr>
      <w:r>
        <w:t xml:space="preserve">Анализ результатов</w:t>
      </w:r>
    </w:p>
    <w:p>
      <w:pPr>
        <w:pStyle w:val="FirstParagraph"/>
      </w:pPr>
      <w:r>
        <w:t xml:space="preserve">Первый график отражает основную динамику исследуемой модели, а второй показывает чувствительность результата к изменению параметров. По полученным траекториям видно, что модель устойчиво воспроизводит ожидаемое качественное поведение системы и подходит для сравнительного анализа сценариев.</w:t>
      </w:r>
    </w:p>
    <w:bookmarkEnd w:id="19"/>
    <w:bookmarkStart w:id="20" w:name="выводы"/>
    <w:p>
      <w:pPr>
        <w:pStyle w:val="Heading2"/>
      </w:pPr>
      <w:r>
        <w:t xml:space="preserve">Выводы</w:t>
      </w:r>
    </w:p>
    <w:p>
      <w:pPr>
        <w:pStyle w:val="FirstParagraph"/>
      </w:pPr>
      <w:r>
        <w:t xml:space="preserve">В ходе выполнения лабораторной работы получен полный воспроизводимый комплект материалов: литературный источник, исполняемый код, ноутбук, отчёт, презентация и архив исходных данных. Единая автоматическая сборка позволяет быстро обновлять результаты после изменения параметров эксперимента.</w:t>
      </w:r>
    </w:p>
    <w:bookmarkEnd w:id="20"/>
    <w:bookmarkStart w:id="21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2"/>
        </w:numPr>
      </w:pPr>
      <w:r>
        <w:t xml:space="preserve">William O. Kermack and Anderson G. McKendrick. A Contribution to the Mathematical Theory of Epidemics. Proceedings of the Royal Society A, 1927.</w:t>
      </w:r>
    </w:p>
    <w:p>
      <w:pPr>
        <w:pStyle w:val="Compact"/>
        <w:numPr>
          <w:ilvl w:val="0"/>
          <w:numId w:val="1002"/>
        </w:numPr>
      </w:pPr>
      <w:r>
        <w:t xml:space="preserve">Alfred J. Lotka. Elements of Physical Biology. Williams and Wilkins, 1925.</w:t>
      </w:r>
    </w:p>
    <w:p>
      <w:pPr>
        <w:pStyle w:val="Compact"/>
        <w:numPr>
          <w:ilvl w:val="0"/>
          <w:numId w:val="1002"/>
        </w:numPr>
      </w:pPr>
      <w:r>
        <w:t xml:space="preserve">Vito Volterra. Variazioni e fluttuazioni del numero d’individui in specie animali conviventi. Memorie della Reale Accademia Nazionale dei Lincei, 1926.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2026-06-21T15:06:20Z</dcterms:created>
  <dcterms:modified xsi:type="dcterms:W3CDTF">2026-06-21T15:06:20Z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