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лабораторная-работа-4.-агентный-sir"/>
    <w:p>
      <w:pPr>
        <w:pStyle w:val="Heading1"/>
      </w:pPr>
      <w:r>
        <w:t xml:space="preserve">Лабораторная работа 4. Агентный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№4</w:t>
      </w:r>
    </w:p>
    <w:p>
      <w:pPr>
        <w:pStyle w:val="BodyText"/>
      </w:pPr>
      <w:r>
        <w:t xml:space="preserve">«Эпидемиологическая модель в агентном подходе»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Реализовать агентную SIR-модель с несколькими городами и миграцией агентов.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Динамика состояний S, I и R в агентной модели" title="" id="13" name="Picture"/>
            <a:graphic>
              <a:graphicData uri="http://schemas.openxmlformats.org/drawingml/2006/picture">
                <pic:pic>
                  <pic:nvPicPr>
                    <pic:cNvPr descr="../results/figures/agent_sir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Динамика состояний S, I и R в агентной модели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Влияние интенсивности миграции на пик инфекции" title="" id="16" name="Picture"/>
            <a:graphic>
              <a:graphicData uri="http://schemas.openxmlformats.org/drawingml/2006/picture">
                <pic:pic>
                  <pic:nvPicPr>
                    <pic:cNvPr descr="../results/figures/agent_sir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Влияние интенсивности миграции на пик инфекции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peak_infected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2026-06-21T15:06:23Z</dcterms:created>
  <dcterms:modified xsi:type="dcterms:W3CDTF">2026-06-21T15:06:23Z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