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4118a2b3666b766eb789872c3af08cef1a38154"/>
    <w:p>
      <w:pPr>
        <w:pStyle w:val="Heading1"/>
      </w:pPr>
      <w:r>
        <w:t xml:space="preserve">Лабораторная работа 6. Сеть Петри для SIR</w:t>
      </w:r>
    </w:p>
    <w:p>
      <w:pPr>
        <w:pStyle w:val="FirstParagraph"/>
      </w:pPr>
      <w:r>
        <w:t xml:space="preserve">ОТЧЁТ</w:t>
      </w:r>
    </w:p>
    <w:p>
      <w:pPr>
        <w:pStyle w:val="BodyText"/>
      </w:pPr>
      <w:r>
        <w:t xml:space="preserve">по лабораторной работе №6</w:t>
      </w:r>
    </w:p>
    <w:p>
      <w:pPr>
        <w:pStyle w:val="BodyText"/>
      </w:pPr>
      <w:r>
        <w:t xml:space="preserve">«Стохастическая SIR-модель через переходы»</w:t>
      </w:r>
    </w:p>
    <w:p>
      <w:pPr>
        <w:pStyle w:val="BodyText"/>
      </w:pPr>
      <w:r>
        <w:t xml:space="preserve">по дисциплине «Имитационное моделирование»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Студент</w:t>
            </w:r>
          </w:p>
        </w:tc>
        <w:tc>
          <w:tcPr/>
          <w:p>
            <w:pPr>
              <w:pStyle w:val="Compact"/>
            </w:pPr>
            <w:r>
              <w:t xml:space="preserve">Исаева Зарина Исмайилбековна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НКНбд–01–23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Преподаватель</w:t>
            </w:r>
          </w:p>
        </w:tc>
        <w:tc>
          <w:tcPr/>
          <w:p>
            <w:pPr>
              <w:pStyle w:val="Compact"/>
            </w:pPr>
            <w:r>
              <w:t xml:space="preserve">Кулябов Дмитрий Сергеевич, преподаватель дисциплины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Организация</w:t>
            </w:r>
          </w:p>
        </w:tc>
        <w:tc>
          <w:tcPr/>
          <w:p>
            <w:pPr>
              <w:pStyle w:val="Compact"/>
            </w:pPr>
            <w:r>
              <w:t xml:space="preserve">Российский университет дружбы народов имени Патриса Лумумбы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</w:tbl>
    <w:bookmarkStart w:id="9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Исследовать SIR-модель, представленную в терминах мест, переходов и стохастических firing-событий.</w:t>
      </w:r>
    </w:p>
    <w:bookmarkEnd w:id="9"/>
    <w:bookmarkStart w:id="10" w:name="теоретические-сведения"/>
    <w:p>
      <w:pPr>
        <w:pStyle w:val="Heading2"/>
      </w:pPr>
      <w:r>
        <w:t xml:space="preserve">Теоретические сведения</w:t>
      </w:r>
    </w:p>
    <w:p>
      <w:pPr>
        <w:pStyle w:val="FirstParagraph"/>
      </w:pPr>
      <w:r>
        <w:t xml:space="preserve">Работа опирается на классические модели и публикации по теме имитационного моделирования. Для лабораторной работы сохранён воспроизводимый подход: основной сценарий хранится в</w:t>
      </w:r>
      <w:r>
        <w:t xml:space="preserve"> </w:t>
      </w:r>
      <w:r>
        <w:rPr>
          <w:rStyle w:val="VerbatimChar"/>
        </w:rPr>
        <w:t xml:space="preserve">qmd</w:t>
      </w:r>
      <w:r>
        <w:t xml:space="preserve">, из него автоматически формируются чистый</w:t>
      </w:r>
      <w:r>
        <w:t xml:space="preserve"> </w:t>
      </w:r>
      <w:r>
        <w:rPr>
          <w:rStyle w:val="VerbatimChar"/>
        </w:rPr>
        <w:t xml:space="preserve">Julia</w:t>
      </w:r>
      <w:r>
        <w:t xml:space="preserve">-код, ноутбук</w:t>
      </w:r>
      <w:r>
        <w:t xml:space="preserve"> </w:t>
      </w:r>
      <w:r>
        <w:rPr>
          <w:rStyle w:val="VerbatimChar"/>
        </w:rPr>
        <w:t xml:space="preserve">ipynb</w:t>
      </w:r>
      <w:r>
        <w:t xml:space="preserve"> </w:t>
      </w:r>
      <w:r>
        <w:t xml:space="preserve">и итоговые отчётные материалы.</w:t>
      </w:r>
    </w:p>
    <w:bookmarkEnd w:id="10"/>
    <w:bookmarkStart w:id="11" w:name="ход-выполнения"/>
    <w:p>
      <w:pPr>
        <w:pStyle w:val="Heading2"/>
      </w:pPr>
      <w:r>
        <w:t xml:space="preserve">Ход выполнения</w:t>
      </w:r>
    </w:p>
    <w:p>
      <w:pPr>
        <w:pStyle w:val="Compact"/>
        <w:numPr>
          <w:ilvl w:val="0"/>
          <w:numId w:val="1001"/>
        </w:numPr>
      </w:pPr>
      <w:r>
        <w:t xml:space="preserve">Подготовлен литературный источник в формате</w:t>
      </w:r>
      <w:r>
        <w:t xml:space="preserve"> </w:t>
      </w:r>
      <w:r>
        <w:rPr>
          <w:rStyle w:val="VerbatimChar"/>
        </w:rPr>
        <w:t xml:space="preserve">qmd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Из источника автоматически извлечён исполняемый код</w:t>
      </w:r>
      <w:r>
        <w:t xml:space="preserve"> </w:t>
      </w:r>
      <w:r>
        <w:rPr>
          <w:rStyle w:val="VerbatimChar"/>
        </w:rPr>
        <w:t xml:space="preserve">Julia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Проведён вычислительный эксперимент и сохранены табличные результаты.</w:t>
      </w:r>
    </w:p>
    <w:p>
      <w:pPr>
        <w:pStyle w:val="Compact"/>
        <w:numPr>
          <w:ilvl w:val="0"/>
          <w:numId w:val="1001"/>
        </w:numPr>
      </w:pPr>
      <w:r>
        <w:t xml:space="preserve">На основе результатов построены графики и подготовлены материалы для отчёта и презентации.</w:t>
      </w:r>
    </w:p>
    <w:bookmarkEnd w:id="11"/>
    <w:bookmarkStart w:id="18" w:name="результаты-моделирования"/>
    <w:p>
      <w:pPr>
        <w:pStyle w:val="Heading2"/>
      </w:pPr>
      <w:r>
        <w:t xml:space="preserve">Результаты моделирования</w:t>
      </w:r>
    </w:p>
    <w:p>
      <w:pPr>
        <w:pStyle w:val="FirstParagraph"/>
      </w:pPr>
      <w:r>
        <w:drawing>
          <wp:inline>
            <wp:extent cx="5334000" cy="3200399"/>
            <wp:effectExtent b="0" l="0" r="0" t="0"/>
            <wp:docPr descr="Стохастическая траектория сети Петри SIR" title="" id="13" name="Picture"/>
            <a:graphic>
              <a:graphicData uri="http://schemas.openxmlformats.org/drawingml/2006/picture">
                <pic:pic>
                  <pic:nvPicPr>
                    <pic:cNvPr descr="../results/figures/petri_sir_mai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Рисунок 1 — Стохастическая траектория сети Петри SIR</w:t>
      </w:r>
    </w:p>
    <w:p>
      <w:pPr>
        <w:pStyle w:val="BodyText"/>
      </w:pPr>
      <w:r>
        <w:drawing>
          <wp:inline>
            <wp:extent cx="5334000" cy="3200399"/>
            <wp:effectExtent b="0" l="0" r="0" t="0"/>
            <wp:docPr descr="Размер эпидемии при разных значениях коэффициента заражения" title="" id="16" name="Picture"/>
            <a:graphic>
              <a:graphicData uri="http://schemas.openxmlformats.org/drawingml/2006/picture">
                <pic:pic>
                  <pic:nvPicPr>
                    <pic:cNvPr descr="../results/figures/petri_sir_sweep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Рисунок 2 — Размер эпидемии при разных значениях коэффициента заражения</w:t>
      </w:r>
    </w:p>
    <w:p>
      <w:pPr>
        <w:pStyle w:val="BodyText"/>
      </w:pPr>
      <w:r>
        <w:t xml:space="preserve">Таблица основных результатов: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final_recovered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</w:tr>
    </w:tbl>
    <w:bookmarkEnd w:id="18"/>
    <w:bookmarkStart w:id="19" w:name="анализ-результатов"/>
    <w:p>
      <w:pPr>
        <w:pStyle w:val="Heading2"/>
      </w:pPr>
      <w:r>
        <w:t xml:space="preserve">Анализ результатов</w:t>
      </w:r>
    </w:p>
    <w:p>
      <w:pPr>
        <w:pStyle w:val="FirstParagraph"/>
      </w:pPr>
      <w:r>
        <w:t xml:space="preserve">Первый график отражает основную динамику исследуемой модели, а второй показывает чувствительность результата к изменению параметров. По полученным траекториям видно, что модель устойчиво воспроизводит ожидаемое качественное поведение системы и подходит для сравнительного анализа сценариев.</w:t>
      </w:r>
    </w:p>
    <w:bookmarkEnd w:id="19"/>
    <w:bookmarkStart w:id="20" w:name="выводы"/>
    <w:p>
      <w:pPr>
        <w:pStyle w:val="Heading2"/>
      </w:pP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получен полный воспроизводимый комплект материалов: литературный источник, исполняемый код, ноутбук, отчёт, презентация и архив исходных данных. Единая автоматическая сборка позволяет быстро обновлять результаты после изменения параметров эксперимента.</w:t>
      </w:r>
    </w:p>
    <w:bookmarkEnd w:id="20"/>
    <w:bookmarkStart w:id="21" w:name="список-литературы"/>
    <w:p>
      <w:pPr>
        <w:pStyle w:val="Heading2"/>
      </w:pPr>
      <w:r>
        <w:t xml:space="preserve">Список литературы</w:t>
      </w:r>
    </w:p>
    <w:p>
      <w:pPr>
        <w:pStyle w:val="Compact"/>
        <w:numPr>
          <w:ilvl w:val="0"/>
          <w:numId w:val="1002"/>
        </w:numPr>
      </w:pPr>
      <w:r>
        <w:t xml:space="preserve">Tadao Murata. Petri Nets: Properties, Analysis and Applications. Proceedings of the IEEE, 1989.</w:t>
      </w:r>
    </w:p>
    <w:p>
      <w:pPr>
        <w:pStyle w:val="Compact"/>
        <w:numPr>
          <w:ilvl w:val="0"/>
          <w:numId w:val="1002"/>
        </w:numPr>
      </w:pPr>
      <w:r>
        <w:t xml:space="preserve">William O. Kermack and Anderson G. McKendrick. A Contribution to the Mathematical Theory of Epidemics. Proceedings of the Royal Society A, 1927.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2026-06-21T15:06:25Z</dcterms:created>
  <dcterms:modified xsi:type="dcterms:W3CDTF">2026-06-21T15:06:25Z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