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ff39695155522d6747a87e4a1ab00acbcc5382a"/>
    <w:p>
      <w:pPr>
        <w:pStyle w:val="Heading1"/>
      </w:pPr>
      <w:r>
        <w:t xml:space="preserve">Лабораторная работа 7. Дискретно-событийное моделирование</w:t>
      </w:r>
    </w:p>
    <w:p>
      <w:pPr>
        <w:pStyle w:val="FirstParagraph"/>
      </w:pPr>
      <w:r>
        <w:t xml:space="preserve">ОТЧЁТ</w:t>
      </w:r>
    </w:p>
    <w:p>
      <w:pPr>
        <w:pStyle w:val="BodyText"/>
      </w:pPr>
      <w:r>
        <w:t xml:space="preserve">по лабораторной работе №7</w:t>
      </w:r>
    </w:p>
    <w:p>
      <w:pPr>
        <w:pStyle w:val="BodyText"/>
      </w:pPr>
      <w:r>
        <w:t xml:space="preserve">«M/M/c и модель Росса»</w:t>
      </w:r>
    </w:p>
    <w:p>
      <w:pPr>
        <w:pStyle w:val="BodyText"/>
      </w:pPr>
      <w:r>
        <w:t xml:space="preserve">по дисциплине «Имитационное моделирование»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Студент</w:t>
            </w:r>
          </w:p>
        </w:tc>
        <w:tc>
          <w:tcPr/>
          <w:p>
            <w:pPr>
              <w:pStyle w:val="Compact"/>
            </w:pPr>
            <w:r>
              <w:t xml:space="preserve">Исаева Зарина Исмайилбековна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НКНбд–01–23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Преподаватель</w:t>
            </w:r>
          </w:p>
        </w:tc>
        <w:tc>
          <w:tcPr/>
          <w:p>
            <w:pPr>
              <w:pStyle w:val="Compact"/>
            </w:pPr>
            <w:r>
              <w:t xml:space="preserve">Кулябов Дмитрий Сергеевич, преподаватель дисциплины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Организация</w:t>
            </w:r>
          </w:p>
        </w:tc>
        <w:tc>
          <w:tcPr/>
          <w:p>
            <w:pPr>
              <w:pStyle w:val="Compact"/>
            </w:pPr>
            <w:r>
              <w:t xml:space="preserve">Российский университет дружбы народов имени Патриса Лумумбы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</w:tbl>
    <w:bookmarkStart w:id="9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Смоделировать систему массового обслуживания и систему с резервом и ремонтом в событийнoм представлении.</w:t>
      </w:r>
    </w:p>
    <w:bookmarkEnd w:id="9"/>
    <w:bookmarkStart w:id="10" w:name="теоретические-сведения"/>
    <w:p>
      <w:pPr>
        <w:pStyle w:val="Heading2"/>
      </w:pPr>
      <w:r>
        <w:t xml:space="preserve">Теоретические сведения</w:t>
      </w:r>
    </w:p>
    <w:p>
      <w:pPr>
        <w:pStyle w:val="FirstParagraph"/>
      </w:pPr>
      <w:r>
        <w:t xml:space="preserve">Работа опирается на классические модели и публикации по теме имитационного моделирования. Для лабораторной работы сохранён воспроизводимый подход: основной сценарий хранится в</w:t>
      </w:r>
      <w:r>
        <w:t xml:space="preserve"> </w:t>
      </w:r>
      <w:r>
        <w:rPr>
          <w:rStyle w:val="VerbatimChar"/>
        </w:rPr>
        <w:t xml:space="preserve">qmd</w:t>
      </w:r>
      <w:r>
        <w:t xml:space="preserve">, из него автоматически формируются чистый</w:t>
      </w:r>
      <w:r>
        <w:t xml:space="preserve"> </w:t>
      </w:r>
      <w:r>
        <w:rPr>
          <w:rStyle w:val="VerbatimChar"/>
        </w:rPr>
        <w:t xml:space="preserve">Julia</w:t>
      </w:r>
      <w:r>
        <w:t xml:space="preserve">-код, ноутбук</w:t>
      </w:r>
      <w:r>
        <w:t xml:space="preserve"> </w:t>
      </w:r>
      <w:r>
        <w:rPr>
          <w:rStyle w:val="VerbatimChar"/>
        </w:rPr>
        <w:t xml:space="preserve">ipynb</w:t>
      </w:r>
      <w:r>
        <w:t xml:space="preserve"> </w:t>
      </w:r>
      <w:r>
        <w:t xml:space="preserve">и итоговые отчётные материалы.</w:t>
      </w:r>
    </w:p>
    <w:bookmarkEnd w:id="10"/>
    <w:bookmarkStart w:id="11" w:name="ход-выполнения"/>
    <w:p>
      <w:pPr>
        <w:pStyle w:val="Heading2"/>
      </w:pPr>
      <w:r>
        <w:t xml:space="preserve">Ход выполнения</w:t>
      </w:r>
    </w:p>
    <w:p>
      <w:pPr>
        <w:pStyle w:val="Compact"/>
        <w:numPr>
          <w:ilvl w:val="0"/>
          <w:numId w:val="1001"/>
        </w:numPr>
      </w:pPr>
      <w:r>
        <w:t xml:space="preserve">Подготовлен литературный источник в формате</w:t>
      </w:r>
      <w:r>
        <w:t xml:space="preserve"> </w:t>
      </w:r>
      <w:r>
        <w:rPr>
          <w:rStyle w:val="VerbatimChar"/>
        </w:rPr>
        <w:t xml:space="preserve">qmd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Из источника автоматически извлечён исполняемый код</w:t>
      </w:r>
      <w:r>
        <w:t xml:space="preserve"> </w:t>
      </w:r>
      <w:r>
        <w:rPr>
          <w:rStyle w:val="VerbatimChar"/>
        </w:rPr>
        <w:t xml:space="preserve">Julia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Проведён вычислительный эксперимент и сохранены табличные результаты.</w:t>
      </w:r>
    </w:p>
    <w:p>
      <w:pPr>
        <w:pStyle w:val="Compact"/>
        <w:numPr>
          <w:ilvl w:val="0"/>
          <w:numId w:val="1001"/>
        </w:numPr>
      </w:pPr>
      <w:r>
        <w:t xml:space="preserve">На основе результатов построены графики и подготовлены материалы для отчёта и презентации.</w:t>
      </w:r>
    </w:p>
    <w:bookmarkEnd w:id="11"/>
    <w:bookmarkStart w:id="18" w:name="результаты-моделирования"/>
    <w:p>
      <w:pPr>
        <w:pStyle w:val="Heading2"/>
      </w:pPr>
      <w:r>
        <w:t xml:space="preserve">Результаты моделирования</w:t>
      </w:r>
    </w:p>
    <w:p>
      <w:pPr>
        <w:pStyle w:val="FirstParagraph"/>
      </w:pPr>
      <w:r>
        <w:drawing>
          <wp:inline>
            <wp:extent cx="5334000" cy="4667250"/>
            <wp:effectExtent b="0" l="0" r="0" t="0"/>
            <wp:docPr descr="Очередь и загрузка в системе M/M/c" title="" id="13" name="Picture"/>
            <a:graphic>
              <a:graphicData uri="http://schemas.openxmlformats.org/drawingml/2006/picture">
                <pic:pic>
                  <pic:nvPicPr>
                    <pic:cNvPr descr="../results/figures/mmc_mai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1 — Очередь и загрузка в системе M/M/c</w:t>
      </w:r>
    </w:p>
    <w:p>
      <w:pPr>
        <w:pStyle w:val="BodyText"/>
      </w:pPr>
      <w:r>
        <w:drawing>
          <wp:inline>
            <wp:extent cx="5334000" cy="3200399"/>
            <wp:effectExtent b="0" l="0" r="0" t="0"/>
            <wp:docPr descr="Среднее время до отказа в модели Росса" title="" id="16" name="Picture"/>
            <a:graphic>
              <a:graphicData uri="http://schemas.openxmlformats.org/drawingml/2006/picture">
                <pic:pic>
                  <pic:nvPicPr>
                    <pic:cNvPr descr="../results/figures/ross_reserv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2 — Среднее время до отказа в модели Росса</w:t>
      </w:r>
    </w:p>
    <w:p>
      <w:pPr>
        <w:pStyle w:val="BodyText"/>
      </w:pPr>
      <w:r>
        <w:t xml:space="preserve">Таблица основных результатов: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reserve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mean_crash_time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14.194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19.216</w:t>
            </w:r>
          </w:p>
        </w:tc>
      </w:tr>
    </w:tbl>
    <w:bookmarkEnd w:id="18"/>
    <w:bookmarkStart w:id="19" w:name="анализ-результатов"/>
    <w:p>
      <w:pPr>
        <w:pStyle w:val="Heading2"/>
      </w:pPr>
      <w:r>
        <w:t xml:space="preserve">Анализ результатов</w:t>
      </w:r>
    </w:p>
    <w:p>
      <w:pPr>
        <w:pStyle w:val="FirstParagraph"/>
      </w:pPr>
      <w:r>
        <w:t xml:space="preserve">Первый график отражает основную динамику исследуемой модели, а второй показывает чувствительность результата к изменению параметров. По полученным траекториям видно, что модель устойчиво воспроизводит ожидаемое качественное поведение системы и подходит для сравнительного анализа сценариев.</w:t>
      </w:r>
    </w:p>
    <w:bookmarkEnd w:id="19"/>
    <w:bookmarkStart w:id="20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получен полный воспроизводимый комплект материалов: литературный источник, исполняемый код, ноутбук, отчёт, презентация и архив исходных данных. Единая автоматическая сборка позволяет быстро обновлять результаты после изменения параметров эксперимента.</w:t>
      </w:r>
    </w:p>
    <w:bookmarkEnd w:id="20"/>
    <w:bookmarkStart w:id="21" w:name="список-литературы"/>
    <w:p>
      <w:pPr>
        <w:pStyle w:val="Heading2"/>
      </w:pPr>
      <w:r>
        <w:t xml:space="preserve">Список литературы</w:t>
      </w:r>
    </w:p>
    <w:p>
      <w:pPr>
        <w:pStyle w:val="Compact"/>
        <w:numPr>
          <w:ilvl w:val="0"/>
          <w:numId w:val="1002"/>
        </w:numPr>
      </w:pPr>
      <w:r>
        <w:t xml:space="preserve">Jerry Banks and John Carson and Barry Nelson and David Nicol. Discrete-Event System Simulation. Prentice Hall, 2010.</w:t>
      </w:r>
    </w:p>
    <w:p>
      <w:pPr>
        <w:pStyle w:val="Compact"/>
        <w:numPr>
          <w:ilvl w:val="0"/>
          <w:numId w:val="1002"/>
        </w:numPr>
      </w:pPr>
      <w:r>
        <w:t xml:space="preserve">Sheldon M. Ross. Introduction to Probability Models. Academic Press, 2014.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2026-06-21T15:06:27Z</dcterms:created>
  <dcterms:modified xsi:type="dcterms:W3CDTF">2026-06-21T15:06:27Z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