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264"/>
      </w:pPr>
      <w:r>
        <w:rPr>
          <w:color w:val="595959"/>
          <w:sz w:val="18"/>
          <w:szCs w:val="18"/>
        </w:rPr>
        <w:t xml:space="preserve">Agent Investissement France · Cahier des charges · v2.3</w:t>
      </w:r>
    </w:p>
    <w:p>
      <w:pPr>
        <w:spacing w:after="200" w:before="1200"/>
        <w:jc w:val="center"/>
      </w:pPr>
      <w:r>
        <w:rPr>
          <w:b/>
          <w:bCs/>
          <w:color w:val="1F3864"/>
          <w:sz w:val="52"/>
          <w:szCs w:val="52"/>
        </w:rPr>
        <w:t xml:space="preserve">CAHIER DES CHARGES</w:t>
      </w:r>
    </w:p>
    <w:p>
      <w:pPr>
        <w:spacing w:after="120"/>
        <w:jc w:val="center"/>
      </w:pPr>
      <w:r>
        <w:rPr>
          <w:b/>
          <w:bCs/>
          <w:sz w:val="30"/>
          <w:szCs w:val="30"/>
        </w:rPr>
        <w:t xml:space="preserve">Outil local d’aide à la décision et de pilotage des investissements</w:t>
      </w:r>
    </w:p>
    <w:p>
      <w:pPr>
        <w:spacing w:after="60"/>
        <w:jc w:val="center"/>
      </w:pPr>
      <w:r>
        <w:rPr>
          <w:color w:val="595959"/>
          <w:sz w:val="24"/>
          <w:szCs w:val="24"/>
        </w:rPr>
        <w:t xml:space="preserve">Projet « Agent Investissement France »</w:t>
      </w:r>
    </w:p>
    <w:p>
      <w:pPr>
        <w:spacing w:after="60"/>
        <w:jc w:val="center"/>
      </w:pPr>
      <w:r>
        <w:rPr>
          <w:i/>
          <w:iCs/>
          <w:color w:val="1F3864"/>
          <w:sz w:val="24"/>
          <w:szCs w:val="24"/>
        </w:rPr>
        <w:t xml:space="preserve">Édition v2.3 — spécification optimisée pour le développement assisté par Claude Code</w:t>
      </w:r>
    </w:p>
    <w:p>
      <w:pPr>
        <w:spacing w:after="400"/>
        <w:jc w:val="center"/>
      </w:pPr>
      <w:r>
        <w:rPr>
          <w:i/>
          <w:iCs/>
          <w:color w:val="1F3864"/>
          <w:sz w:val="24"/>
          <w:szCs w:val="24"/>
        </w:rPr>
        <w:t xml:space="preserve">Couverture France · Europe · États-Unis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tblHeader/>
        </w:trPr>
        <w:tc>
          <w:tcPr>
            <w:tcW w:type="dxa" w:w="2600"/>
            <w:shd w:fill="1F3864" w:val="clear"/>
            <w:tcMar>
              <w:top w:type="dxa" w:w="50"/>
              <w:left w:type="dxa" w:w="90"/>
              <w:bottom w:type="dxa" w:w="50"/>
              <w:right w:type="dxa" w:w="90"/>
            </w:tcMar>
            <w:vAlign w:val="center"/>
          </w:tcPr>
          <w:p>
            <w:pPr>
              <w:spacing w:after="0" w:line="240"/>
            </w:pPr>
            <w:r>
              <w:rPr>
                <w:b/>
                <w:bCs/>
                <w:color w:val="FFFFFF"/>
                <w:sz w:val="18"/>
                <w:szCs w:val="18"/>
              </w:rPr>
              <w:t xml:space="preserve">Champ</w:t>
            </w:r>
          </w:p>
        </w:tc>
        <w:tc>
          <w:tcPr>
            <w:tcW w:type="dxa" w:w="7038"/>
            <w:shd w:fill="1F3864" w:val="clear"/>
            <w:tcMar>
              <w:top w:type="dxa" w:w="50"/>
              <w:left w:type="dxa" w:w="90"/>
              <w:bottom w:type="dxa" w:w="50"/>
              <w:right w:type="dxa" w:w="90"/>
            </w:tcMar>
            <w:vAlign w:val="center"/>
          </w:tcPr>
          <w:p>
            <w:pPr>
              <w:spacing w:after="0" w:line="240"/>
            </w:pPr>
            <w:r>
              <w:rPr>
                <w:b/>
                <w:bCs/>
                <w:color w:val="FFFFFF"/>
                <w:sz w:val="18"/>
                <w:szCs w:val="18"/>
              </w:rPr>
              <w:t xml:space="preserve">Valeur</w:t>
            </w:r>
          </w:p>
        </w:tc>
      </w:tr>
      <w:tr>
        <w:tc>
          <w:tcPr>
            <w:tcW w:type="dxa" w:w="2600"/>
            <w:tcMar>
              <w:top w:type="dxa" w:w="50"/>
              <w:left w:type="dxa" w:w="90"/>
              <w:bottom w:type="dxa" w:w="50"/>
              <w:right w:type="dxa" w:w="90"/>
            </w:tcMar>
            <w:vAlign w:val="center"/>
          </w:tcPr>
          <w:p>
            <w:pPr>
              <w:spacing w:after="0" w:line="240"/>
            </w:pPr>
            <w:r>
              <w:rPr>
                <w:sz w:val="18"/>
                <w:szCs w:val="18"/>
              </w:rPr>
              <w:t xml:space="preserve">Version</w:t>
            </w:r>
          </w:p>
        </w:tc>
        <w:tc>
          <w:tcPr>
            <w:tcW w:type="dxa" w:w="7038"/>
            <w:tcMar>
              <w:top w:type="dxa" w:w="50"/>
              <w:left w:type="dxa" w:w="90"/>
              <w:bottom w:type="dxa" w:w="50"/>
              <w:right w:type="dxa" w:w="90"/>
            </w:tcMar>
            <w:vAlign w:val="center"/>
          </w:tcPr>
          <w:p>
            <w:pPr>
              <w:spacing w:after="0" w:line="240"/>
            </w:pPr>
            <w:r>
              <w:rPr>
                <w:sz w:val="18"/>
                <w:szCs w:val="18"/>
              </w:rPr>
              <w:t xml:space="preserve">2.3</w:t>
            </w:r>
          </w:p>
        </w:tc>
      </w:tr>
      <w:tr>
        <w:tc>
          <w:tcPr>
            <w:tcW w:type="dxa" w:w="2600"/>
            <w:shd w:fill="F7F9FC" w:val="clear"/>
            <w:tcMar>
              <w:top w:type="dxa" w:w="50"/>
              <w:left w:type="dxa" w:w="90"/>
              <w:bottom w:type="dxa" w:w="50"/>
              <w:right w:type="dxa" w:w="90"/>
            </w:tcMar>
            <w:vAlign w:val="center"/>
          </w:tcPr>
          <w:p>
            <w:pPr>
              <w:spacing w:after="0" w:line="240"/>
            </w:pPr>
            <w:r>
              <w:rPr>
                <w:sz w:val="18"/>
                <w:szCs w:val="18"/>
              </w:rPr>
              <w:t xml:space="preserve">Date</w:t>
            </w:r>
          </w:p>
        </w:tc>
        <w:tc>
          <w:tcPr>
            <w:tcW w:type="dxa" w:w="7038"/>
            <w:shd w:fill="F7F9FC" w:val="clear"/>
            <w:tcMar>
              <w:top w:type="dxa" w:w="50"/>
              <w:left w:type="dxa" w:w="90"/>
              <w:bottom w:type="dxa" w:w="50"/>
              <w:right w:type="dxa" w:w="90"/>
            </w:tcMar>
            <w:vAlign w:val="center"/>
          </w:tcPr>
          <w:p>
            <w:pPr>
              <w:spacing w:after="0" w:line="240"/>
            </w:pPr>
            <w:r>
              <w:rPr>
                <w:sz w:val="18"/>
                <w:szCs w:val="18"/>
              </w:rPr>
              <w:t xml:space="preserve">21 juillet 2026</w:t>
            </w:r>
          </w:p>
        </w:tc>
      </w:tr>
      <w:tr>
        <w:tc>
          <w:tcPr>
            <w:tcW w:type="dxa" w:w="2600"/>
            <w:tcMar>
              <w:top w:type="dxa" w:w="50"/>
              <w:left w:type="dxa" w:w="90"/>
              <w:bottom w:type="dxa" w:w="50"/>
              <w:right w:type="dxa" w:w="90"/>
            </w:tcMar>
            <w:vAlign w:val="center"/>
          </w:tcPr>
          <w:p>
            <w:pPr>
              <w:spacing w:after="0" w:line="240"/>
            </w:pPr>
            <w:r>
              <w:rPr>
                <w:sz w:val="18"/>
                <w:szCs w:val="18"/>
              </w:rPr>
              <w:t xml:space="preserve">Statut</w:t>
            </w:r>
          </w:p>
        </w:tc>
        <w:tc>
          <w:tcPr>
            <w:tcW w:type="dxa" w:w="7038"/>
            <w:tcMar>
              <w:top w:type="dxa" w:w="50"/>
              <w:left w:type="dxa" w:w="90"/>
              <w:bottom w:type="dxa" w:w="50"/>
              <w:right w:type="dxa" w:w="90"/>
            </w:tcMar>
            <w:vAlign w:val="center"/>
          </w:tcPr>
          <w:p>
            <w:pPr>
              <w:spacing w:after="0" w:line="240"/>
            </w:pPr>
            <w:r>
              <w:rPr>
                <w:sz w:val="18"/>
                <w:szCs w:val="18"/>
              </w:rPr>
              <w:t xml:space="preserve">Cahier des charges consolidé, restructuré et étendu aux marchés européens et américains — prêt pour développement</w:t>
            </w:r>
          </w:p>
        </w:tc>
      </w:tr>
      <w:tr>
        <w:tc>
          <w:tcPr>
            <w:tcW w:type="dxa" w:w="2600"/>
            <w:shd w:fill="F7F9FC" w:val="clear"/>
            <w:tcMar>
              <w:top w:type="dxa" w:w="50"/>
              <w:left w:type="dxa" w:w="90"/>
              <w:bottom w:type="dxa" w:w="50"/>
              <w:right w:type="dxa" w:w="90"/>
            </w:tcMar>
            <w:vAlign w:val="center"/>
          </w:tcPr>
          <w:p>
            <w:pPr>
              <w:spacing w:after="0" w:line="240"/>
            </w:pPr>
            <w:r>
              <w:rPr>
                <w:sz w:val="18"/>
                <w:szCs w:val="18"/>
              </w:rPr>
              <w:t xml:space="preserve">Périmètre marchés</w:t>
            </w:r>
          </w:p>
        </w:tc>
        <w:tc>
          <w:tcPr>
            <w:tcW w:type="dxa" w:w="7038"/>
            <w:shd w:fill="F7F9FC" w:val="clear"/>
            <w:tcMar>
              <w:top w:type="dxa" w:w="50"/>
              <w:left w:type="dxa" w:w="90"/>
              <w:bottom w:type="dxa" w:w="50"/>
              <w:right w:type="dxa" w:w="90"/>
            </w:tcMar>
            <w:vAlign w:val="center"/>
          </w:tcPr>
          <w:p>
            <w:pPr>
              <w:spacing w:after="0" w:line="240"/>
            </w:pPr>
            <w:r>
              <w:rPr>
                <w:sz w:val="18"/>
                <w:szCs w:val="18"/>
              </w:rPr>
              <w:t xml:space="preserve">Euronext Paris (marché de référence, seul marché SRD) · Europe hors France · Nasdaq et NYSE</w:t>
            </w:r>
          </w:p>
        </w:tc>
      </w:tr>
      <w:tr>
        <w:tc>
          <w:tcPr>
            <w:tcW w:type="dxa" w:w="2600"/>
            <w:tcMar>
              <w:top w:type="dxa" w:w="50"/>
              <w:left w:type="dxa" w:w="90"/>
              <w:bottom w:type="dxa" w:w="50"/>
              <w:right w:type="dxa" w:w="90"/>
            </w:tcMar>
            <w:vAlign w:val="center"/>
          </w:tcPr>
          <w:p>
            <w:pPr>
              <w:spacing w:after="0" w:line="240"/>
            </w:pPr>
            <w:r>
              <w:rPr>
                <w:sz w:val="18"/>
                <w:szCs w:val="18"/>
              </w:rPr>
              <w:t xml:space="preserve">Cible</w:t>
            </w:r>
          </w:p>
        </w:tc>
        <w:tc>
          <w:tcPr>
            <w:tcW w:type="dxa" w:w="7038"/>
            <w:tcMar>
              <w:top w:type="dxa" w:w="50"/>
              <w:left w:type="dxa" w:w="90"/>
              <w:bottom w:type="dxa" w:w="50"/>
              <w:right w:type="dxa" w:w="90"/>
            </w:tcMar>
            <w:vAlign w:val="center"/>
          </w:tcPr>
          <w:p>
            <w:pPr>
              <w:spacing w:after="0" w:line="240"/>
            </w:pPr>
            <w:r>
              <w:rPr>
                <w:sz w:val="18"/>
                <w:szCs w:val="18"/>
              </w:rPr>
              <w:t xml:space="preserve">Développement assisté par IA (Claude Code) piloté par le propriétaire fonctionnel</w:t>
            </w:r>
          </w:p>
        </w:tc>
      </w:tr>
      <w:tr>
        <w:tc>
          <w:tcPr>
            <w:tcW w:type="dxa" w:w="2600"/>
            <w:shd w:fill="F7F9FC" w:val="clear"/>
            <w:tcMar>
              <w:top w:type="dxa" w:w="50"/>
              <w:left w:type="dxa" w:w="90"/>
              <w:bottom w:type="dxa" w:w="50"/>
              <w:right w:type="dxa" w:w="90"/>
            </w:tcMar>
            <w:vAlign w:val="center"/>
          </w:tcPr>
          <w:p>
            <w:pPr>
              <w:spacing w:after="0" w:line="240"/>
            </w:pPr>
            <w:r>
              <w:rPr>
                <w:sz w:val="18"/>
                <w:szCs w:val="18"/>
              </w:rPr>
              <w:t xml:space="preserve">Propriétaire fonctionnel</w:t>
            </w:r>
          </w:p>
        </w:tc>
        <w:tc>
          <w:tcPr>
            <w:tcW w:type="dxa" w:w="7038"/>
            <w:shd w:fill="F7F9FC" w:val="clear"/>
            <w:tcMar>
              <w:top w:type="dxa" w:w="50"/>
              <w:left w:type="dxa" w:w="90"/>
              <w:bottom w:type="dxa" w:w="50"/>
              <w:right w:type="dxa" w:w="90"/>
            </w:tcMar>
            <w:vAlign w:val="center"/>
          </w:tcPr>
          <w:p>
            <w:pPr>
              <w:spacing w:after="0" w:line="240"/>
            </w:pPr>
            <w:r>
              <w:rPr>
                <w:sz w:val="18"/>
                <w:szCs w:val="18"/>
              </w:rPr>
              <w:t xml:space="preserve">Utilisateur du projet Agent Investissement France</w:t>
            </w:r>
          </w:p>
        </w:tc>
      </w:tr>
      <w:tr>
        <w:tc>
          <w:tcPr>
            <w:tcW w:type="dxa" w:w="2600"/>
            <w:tcMar>
              <w:top w:type="dxa" w:w="50"/>
              <w:left w:type="dxa" w:w="90"/>
              <w:bottom w:type="dxa" w:w="50"/>
              <w:right w:type="dxa" w:w="90"/>
            </w:tcMar>
            <w:vAlign w:val="center"/>
          </w:tcPr>
          <w:p>
            <w:pPr>
              <w:spacing w:after="0" w:line="240"/>
            </w:pPr>
            <w:r>
              <w:rPr>
                <w:sz w:val="18"/>
                <w:szCs w:val="18"/>
              </w:rPr>
              <w:t xml:space="preserve">Confidentialité</w:t>
            </w:r>
          </w:p>
        </w:tc>
        <w:tc>
          <w:tcPr>
            <w:tcW w:type="dxa" w:w="7038"/>
            <w:tcMar>
              <w:top w:type="dxa" w:w="50"/>
              <w:left w:type="dxa" w:w="90"/>
              <w:bottom w:type="dxa" w:w="50"/>
              <w:right w:type="dxa" w:w="90"/>
            </w:tcMar>
            <w:vAlign w:val="center"/>
          </w:tcPr>
          <w:p>
            <w:pPr>
              <w:spacing w:after="0" w:line="240"/>
            </w:pPr>
            <w:r>
              <w:rPr>
                <w:sz w:val="18"/>
                <w:szCs w:val="18"/>
              </w:rPr>
              <w:t xml:space="preserve">Données patrimoniales et financières personnelles</w:t>
            </w:r>
          </w:p>
        </w:tc>
      </w:tr>
    </w:tbl>
    <w:p>
      <w:pPr>
        <w:spacing w:after="60" w:before="0" w:line="264"/>
      </w:pPr>
      <w:r>
        <w:t xml:space="preserve"> </w:t>
      </w:r>
    </w:p>
    <w:tbl>
      <w:tblPr>
        <w:tblW w:type="dxa" w:w="9638"/>
        <w:tblBorders>
          <w:top w:val="single" w:color="BFBFBF" w:sz="4"/>
          <w:left w:val="single" w:color="1F3864" w:sz="18"/>
          <w:bottom w:val="single" w:color="BFBFBF" w:sz="4"/>
          <w:right w:val="single" w:color="BFBFBF" w:sz="4"/>
          <w:insideH w:val="single" w:color="BFBFBF" w:sz="4"/>
          <w:insideV w:val="single" w:color="BFBFBF" w:sz="4"/>
        </w:tblBorders>
      </w:tblPr>
      <w:tblGrid>
        <w:gridCol w:w="9638"/>
      </w:tblGrid>
      <w:tr>
        <w:tc>
          <w:tcPr>
            <w:tcW w:type="dxa" w:w="9638"/>
            <w:shd w:fill="FBEAEA" w:val="clear"/>
            <w:tcMar>
              <w:top w:type="dxa" w:w="90"/>
              <w:left w:type="dxa" w:w="140"/>
              <w:bottom w:type="dxa" w:w="90"/>
              <w:right w:type="dxa" w:w="140"/>
            </w:tcMar>
          </w:tcPr>
          <w:p>
            <w:pPr>
              <w:spacing w:after="40" w:before="0" w:line="264"/>
            </w:pPr>
            <w:r>
              <w:rPr>
                <w:b/>
                <w:bCs/>
                <w:color w:val="1F3864"/>
              </w:rPr>
              <w:t xml:space="preserve">Principe cardinal</w:t>
            </w:r>
          </w:p>
          <w:p>
            <w:pPr>
              <w:spacing w:after="0" w:before="0" w:line="264"/>
            </w:pPr>
            <w:r>
              <w:t xml:space="preserve">L’outil ne passe jamais d’ordre et ne remplace pas la décision de l’utilisateur. Aucune fonctionnalité, aucun script, aucune automatisation ne transmet un ordre à un courtier, sous aucune forme.</w:t>
            </w:r>
          </w:p>
        </w:tc>
      </w:tr>
    </w:tbl>
    <w:p>
      <w:r>
        <w:br w:type="page"/>
      </w:r>
    </w:p>
    <w:p>
      <w:pPr>
        <w:pStyle w:val="Heading1"/>
        <w:spacing w:after="140" w:before="300"/>
      </w:pPr>
      <w:r>
        <w:t xml:space="preserve">0. Gestion du document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1300"/>
        <w:gridCol w:w="6238"/>
        <w:gridCol w:w="1200"/>
      </w:tblGrid>
      <w:tr>
        <w:trPr>
          <w:tblHeader/>
        </w:trPr>
        <w:tc>
          <w:tcPr>
            <w:tcW w:type="dxa" w:w="900"/>
            <w:shd w:fill="1F3864" w:val="clear"/>
            <w:tcMar>
              <w:top w:type="dxa" w:w="50"/>
              <w:left w:type="dxa" w:w="90"/>
              <w:bottom w:type="dxa" w:w="50"/>
              <w:right w:type="dxa" w:w="90"/>
            </w:tcMar>
            <w:vAlign w:val="center"/>
          </w:tcPr>
          <w:p>
            <w:pPr>
              <w:spacing w:after="0" w:line="240"/>
            </w:pPr>
            <w:r>
              <w:rPr>
                <w:b/>
                <w:bCs/>
                <w:color w:val="FFFFFF"/>
                <w:sz w:val="18"/>
                <w:szCs w:val="18"/>
              </w:rPr>
              <w:t xml:space="preserve">Version</w:t>
            </w:r>
          </w:p>
        </w:tc>
        <w:tc>
          <w:tcPr>
            <w:tcW w:type="dxa" w:w="1300"/>
            <w:shd w:fill="1F3864" w:val="clear"/>
            <w:tcMar>
              <w:top w:type="dxa" w:w="50"/>
              <w:left w:type="dxa" w:w="90"/>
              <w:bottom w:type="dxa" w:w="50"/>
              <w:right w:type="dxa" w:w="90"/>
            </w:tcMar>
            <w:vAlign w:val="center"/>
          </w:tcPr>
          <w:p>
            <w:pPr>
              <w:spacing w:after="0" w:line="240"/>
            </w:pPr>
            <w:r>
              <w:rPr>
                <w:b/>
                <w:bCs/>
                <w:color w:val="FFFFFF"/>
                <w:sz w:val="18"/>
                <w:szCs w:val="18"/>
              </w:rPr>
              <w:t xml:space="preserve">Date</w:t>
            </w:r>
          </w:p>
        </w:tc>
        <w:tc>
          <w:tcPr>
            <w:tcW w:type="dxa" w:w="6238"/>
            <w:shd w:fill="1F3864" w:val="clear"/>
            <w:tcMar>
              <w:top w:type="dxa" w:w="50"/>
              <w:left w:type="dxa" w:w="90"/>
              <w:bottom w:type="dxa" w:w="50"/>
              <w:right w:type="dxa" w:w="90"/>
            </w:tcMar>
            <w:vAlign w:val="center"/>
          </w:tcPr>
          <w:p>
            <w:pPr>
              <w:spacing w:after="0" w:line="240"/>
            </w:pPr>
            <w:r>
              <w:rPr>
                <w:b/>
                <w:bCs/>
                <w:color w:val="FFFFFF"/>
                <w:sz w:val="18"/>
                <w:szCs w:val="18"/>
              </w:rPr>
              <w:t xml:space="preserve">Évolution</w:t>
            </w:r>
          </w:p>
        </w:tc>
        <w:tc>
          <w:tcPr>
            <w:tcW w:type="dxa" w:w="1200"/>
            <w:shd w:fill="1F3864" w:val="clear"/>
            <w:tcMar>
              <w:top w:type="dxa" w:w="50"/>
              <w:left w:type="dxa" w:w="90"/>
              <w:bottom w:type="dxa" w:w="50"/>
              <w:right w:type="dxa" w:w="90"/>
            </w:tcMar>
            <w:vAlign w:val="center"/>
          </w:tcPr>
          <w:p>
            <w:pPr>
              <w:spacing w:after="0" w:line="240"/>
            </w:pPr>
            <w:r>
              <w:rPr>
                <w:b/>
                <w:bCs/>
                <w:color w:val="FFFFFF"/>
                <w:sz w:val="18"/>
                <w:szCs w:val="18"/>
              </w:rPr>
              <w:t xml:space="preserve">Statut</w:t>
            </w:r>
          </w:p>
        </w:tc>
      </w:tr>
      <w:tr>
        <w:tc>
          <w:tcPr>
            <w:tcW w:type="dxa" w:w="900"/>
            <w:tcMar>
              <w:top w:type="dxa" w:w="50"/>
              <w:left w:type="dxa" w:w="90"/>
              <w:bottom w:type="dxa" w:w="50"/>
              <w:right w:type="dxa" w:w="90"/>
            </w:tcMar>
            <w:vAlign w:val="center"/>
          </w:tcPr>
          <w:p>
            <w:pPr>
              <w:spacing w:after="0" w:line="240"/>
            </w:pPr>
            <w:r>
              <w:rPr>
                <w:sz w:val="18"/>
                <w:szCs w:val="18"/>
              </w:rPr>
              <w:t xml:space="preserve">1.0</w:t>
            </w:r>
          </w:p>
        </w:tc>
        <w:tc>
          <w:tcPr>
            <w:tcW w:type="dxa" w:w="1300"/>
            <w:tcMar>
              <w:top w:type="dxa" w:w="50"/>
              <w:left w:type="dxa" w:w="90"/>
              <w:bottom w:type="dxa" w:w="50"/>
              <w:right w:type="dxa" w:w="90"/>
            </w:tcMar>
            <w:vAlign w:val="center"/>
          </w:tcPr>
          <w:p>
            <w:pPr>
              <w:spacing w:after="0" w:line="240"/>
            </w:pPr>
            <w:r>
              <w:rPr>
                <w:sz w:val="18"/>
                <w:szCs w:val="18"/>
              </w:rPr>
              <w:t xml:space="preserve">20/07/2026</w:t>
            </w:r>
          </w:p>
        </w:tc>
        <w:tc>
          <w:tcPr>
            <w:tcW w:type="dxa" w:w="6238"/>
            <w:tcMar>
              <w:top w:type="dxa" w:w="50"/>
              <w:left w:type="dxa" w:w="90"/>
              <w:bottom w:type="dxa" w:w="50"/>
              <w:right w:type="dxa" w:w="90"/>
            </w:tcMar>
            <w:vAlign w:val="center"/>
          </w:tcPr>
          <w:p>
            <w:pPr>
              <w:spacing w:after="0" w:line="240"/>
            </w:pPr>
            <w:r>
              <w:rPr>
                <w:sz w:val="18"/>
                <w:szCs w:val="18"/>
              </w:rPr>
              <w:t xml:space="preserve">Première consolidation des besoins (fichiers Saxo/Boursobank, rituels de suivi).</w:t>
            </w:r>
          </w:p>
        </w:tc>
        <w:tc>
          <w:tcPr>
            <w:tcW w:type="dxa" w:w="1200"/>
            <w:tcMar>
              <w:top w:type="dxa" w:w="50"/>
              <w:left w:type="dxa" w:w="90"/>
              <w:bottom w:type="dxa" w:w="50"/>
              <w:right w:type="dxa" w:w="90"/>
            </w:tcMar>
            <w:vAlign w:val="center"/>
          </w:tcPr>
          <w:p>
            <w:pPr>
              <w:spacing w:after="0" w:line="240"/>
            </w:pPr>
            <w:r>
              <w:rPr>
                <w:sz w:val="18"/>
                <w:szCs w:val="18"/>
              </w:rPr>
              <w:t xml:space="preserve">Remplacée</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1.1</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20/07/2026</w:t>
            </w:r>
          </w:p>
        </w:tc>
        <w:tc>
          <w:tcPr>
            <w:tcW w:type="dxa" w:w="6238"/>
            <w:shd w:fill="F7F9FC" w:val="clear"/>
            <w:tcMar>
              <w:top w:type="dxa" w:w="50"/>
              <w:left w:type="dxa" w:w="90"/>
              <w:bottom w:type="dxa" w:w="50"/>
              <w:right w:type="dxa" w:w="90"/>
            </w:tcMar>
            <w:vAlign w:val="center"/>
          </w:tcPr>
          <w:p>
            <w:pPr>
              <w:spacing w:after="0" w:line="240"/>
            </w:pPr>
            <w:r>
              <w:rPr>
                <w:sz w:val="18"/>
                <w:szCs w:val="18"/>
              </w:rPr>
              <w:t xml:space="preserve">Intégration de l’export Claude « Investissement Bourse » : SRD, heat, pyramiding, DCA, gates, fiscalité, n8n.</w:t>
            </w:r>
          </w:p>
        </w:tc>
        <w:tc>
          <w:tcPr>
            <w:tcW w:type="dxa" w:w="1200"/>
            <w:shd w:fill="F7F9FC" w:val="clear"/>
            <w:tcMar>
              <w:top w:type="dxa" w:w="50"/>
              <w:left w:type="dxa" w:w="90"/>
              <w:bottom w:type="dxa" w:w="50"/>
              <w:right w:type="dxa" w:w="90"/>
            </w:tcMar>
            <w:vAlign w:val="center"/>
          </w:tcPr>
          <w:p>
            <w:pPr>
              <w:spacing w:after="0" w:line="240"/>
            </w:pPr>
            <w:r>
              <w:rPr>
                <w:sz w:val="18"/>
                <w:szCs w:val="18"/>
              </w:rPr>
              <w:t xml:space="preserve">Remplacée</w:t>
            </w:r>
          </w:p>
        </w:tc>
      </w:tr>
      <w:tr>
        <w:tc>
          <w:tcPr>
            <w:tcW w:type="dxa" w:w="900"/>
            <w:tcMar>
              <w:top w:type="dxa" w:w="50"/>
              <w:left w:type="dxa" w:w="90"/>
              <w:bottom w:type="dxa" w:w="50"/>
              <w:right w:type="dxa" w:w="90"/>
            </w:tcMar>
            <w:vAlign w:val="center"/>
          </w:tcPr>
          <w:p>
            <w:pPr>
              <w:spacing w:after="0" w:line="240"/>
            </w:pPr>
            <w:r>
              <w:rPr>
                <w:sz w:val="18"/>
                <w:szCs w:val="18"/>
              </w:rPr>
              <w:t xml:space="preserve">1.2</w:t>
            </w:r>
          </w:p>
        </w:tc>
        <w:tc>
          <w:tcPr>
            <w:tcW w:type="dxa" w:w="1300"/>
            <w:tcMar>
              <w:top w:type="dxa" w:w="50"/>
              <w:left w:type="dxa" w:w="90"/>
              <w:bottom w:type="dxa" w:w="50"/>
              <w:right w:type="dxa" w:w="90"/>
            </w:tcMar>
            <w:vAlign w:val="center"/>
          </w:tcPr>
          <w:p>
            <w:pPr>
              <w:spacing w:after="0" w:line="240"/>
            </w:pPr>
            <w:r>
              <w:rPr>
                <w:sz w:val="18"/>
                <w:szCs w:val="18"/>
              </w:rPr>
              <w:t xml:space="preserve">20/07/2026</w:t>
            </w:r>
          </w:p>
        </w:tc>
        <w:tc>
          <w:tcPr>
            <w:tcW w:type="dxa" w:w="6238"/>
            <w:tcMar>
              <w:top w:type="dxa" w:w="50"/>
              <w:left w:type="dxa" w:w="90"/>
              <w:bottom w:type="dxa" w:w="50"/>
              <w:right w:type="dxa" w:w="90"/>
            </w:tcMar>
            <w:vAlign w:val="center"/>
          </w:tcPr>
          <w:p>
            <w:pPr>
              <w:spacing w:after="0" w:line="240"/>
            </w:pPr>
            <w:r>
              <w:rPr>
                <w:sz w:val="18"/>
                <w:szCs w:val="18"/>
              </w:rPr>
              <w:t xml:space="preserve">Phasage impératif : phase 1 manuelle, phase 2 automatisée par n8n sans suppression du mode manuel.</w:t>
            </w:r>
          </w:p>
        </w:tc>
        <w:tc>
          <w:tcPr>
            <w:tcW w:type="dxa" w:w="1200"/>
            <w:tcMar>
              <w:top w:type="dxa" w:w="50"/>
              <w:left w:type="dxa" w:w="90"/>
              <w:bottom w:type="dxa" w:w="50"/>
              <w:right w:type="dxa" w:w="90"/>
            </w:tcMar>
            <w:vAlign w:val="center"/>
          </w:tcPr>
          <w:p>
            <w:pPr>
              <w:spacing w:after="0" w:line="240"/>
            </w:pPr>
            <w:r>
              <w:rPr>
                <w:sz w:val="18"/>
                <w:szCs w:val="18"/>
              </w:rPr>
              <w:t xml:space="preserve">Remplacée</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2.0</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20/07/2026</w:t>
            </w:r>
          </w:p>
        </w:tc>
        <w:tc>
          <w:tcPr>
            <w:tcW w:type="dxa" w:w="6238"/>
            <w:shd w:fill="F7F9FC" w:val="clear"/>
            <w:tcMar>
              <w:top w:type="dxa" w:w="50"/>
              <w:left w:type="dxa" w:w="90"/>
              <w:bottom w:type="dxa" w:w="50"/>
              <w:right w:type="dxa" w:w="90"/>
            </w:tcMar>
            <w:vAlign w:val="center"/>
          </w:tcPr>
          <w:p>
            <w:pPr>
              <w:spacing w:after="0" w:line="240"/>
            </w:pPr>
            <w:r>
              <w:rPr>
                <w:sz w:val="18"/>
                <w:szCs w:val="18"/>
              </w:rPr>
              <w:t xml:space="preserve">Restructuration pour développement assisté par Claude Code : fusion des règles dupliquées, décisions par défaut, lots de développement, formules normatives, CLAUDE.md, fixtures et stratégie de test.</w:t>
            </w:r>
          </w:p>
        </w:tc>
        <w:tc>
          <w:tcPr>
            <w:tcW w:type="dxa" w:w="1200"/>
            <w:shd w:fill="F7F9FC" w:val="clear"/>
            <w:tcMar>
              <w:top w:type="dxa" w:w="50"/>
              <w:left w:type="dxa" w:w="90"/>
              <w:bottom w:type="dxa" w:w="50"/>
              <w:right w:type="dxa" w:w="90"/>
            </w:tcMar>
            <w:vAlign w:val="center"/>
          </w:tcPr>
          <w:p>
            <w:pPr>
              <w:spacing w:after="0" w:line="240"/>
            </w:pPr>
            <w:r>
              <w:rPr>
                <w:sz w:val="18"/>
                <w:szCs w:val="18"/>
              </w:rPr>
              <w:t xml:space="preserve">Remplacée</w:t>
            </w:r>
          </w:p>
        </w:tc>
      </w:tr>
      <w:tr>
        <w:tc>
          <w:tcPr>
            <w:tcW w:type="dxa" w:w="900"/>
            <w:tcMar>
              <w:top w:type="dxa" w:w="50"/>
              <w:left w:type="dxa" w:w="90"/>
              <w:bottom w:type="dxa" w:w="50"/>
              <w:right w:type="dxa" w:w="90"/>
            </w:tcMar>
            <w:vAlign w:val="center"/>
          </w:tcPr>
          <w:p>
            <w:pPr>
              <w:spacing w:after="0" w:line="240"/>
            </w:pPr>
            <w:r>
              <w:rPr>
                <w:sz w:val="18"/>
                <w:szCs w:val="18"/>
              </w:rPr>
              <w:t xml:space="preserve">2.1</w:t>
            </w:r>
          </w:p>
        </w:tc>
        <w:tc>
          <w:tcPr>
            <w:tcW w:type="dxa" w:w="1300"/>
            <w:tcMar>
              <w:top w:type="dxa" w:w="50"/>
              <w:left w:type="dxa" w:w="90"/>
              <w:bottom w:type="dxa" w:w="50"/>
              <w:right w:type="dxa" w:w="90"/>
            </w:tcMar>
            <w:vAlign w:val="center"/>
          </w:tcPr>
          <w:p>
            <w:pPr>
              <w:spacing w:after="0" w:line="240"/>
            </w:pPr>
            <w:r>
              <w:rPr>
                <w:sz w:val="18"/>
                <w:szCs w:val="18"/>
              </w:rPr>
              <w:t xml:space="preserve">21/07/2026</w:t>
            </w:r>
          </w:p>
        </w:tc>
        <w:tc>
          <w:tcPr>
            <w:tcW w:type="dxa" w:w="6238"/>
            <w:tcMar>
              <w:top w:type="dxa" w:w="50"/>
              <w:left w:type="dxa" w:w="90"/>
              <w:bottom w:type="dxa" w:w="50"/>
              <w:right w:type="dxa" w:w="90"/>
            </w:tcMar>
            <w:vAlign w:val="center"/>
          </w:tcPr>
          <w:p>
            <w:pPr>
              <w:spacing w:after="0" w:line="240"/>
            </w:pPr>
            <w:r>
              <w:rPr>
                <w:sz w:val="18"/>
                <w:szCs w:val="18"/>
              </w:rPr>
              <w:t xml:space="preserve">Extension multi-marchés : les marchés européens et américains deviennent des marchés de plein exercice (places, sessions, devises, change, fiscalité étrangère, gates et no-go par marché) et non plus un simple périmètre secondaire.</w:t>
            </w:r>
          </w:p>
        </w:tc>
        <w:tc>
          <w:tcPr>
            <w:tcW w:type="dxa" w:w="1200"/>
            <w:tcMar>
              <w:top w:type="dxa" w:w="50"/>
              <w:left w:type="dxa" w:w="90"/>
              <w:bottom w:type="dxa" w:w="50"/>
              <w:right w:type="dxa" w:w="90"/>
            </w:tcMar>
            <w:vAlign w:val="center"/>
          </w:tcPr>
          <w:p>
            <w:pPr>
              <w:spacing w:after="0" w:line="240"/>
            </w:pPr>
            <w:r>
              <w:rPr>
                <w:sz w:val="18"/>
                <w:szCs w:val="18"/>
              </w:rPr>
              <w:t xml:space="preserve">Remplacée</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2.2</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21/07/2026</w:t>
            </w:r>
          </w:p>
        </w:tc>
        <w:tc>
          <w:tcPr>
            <w:tcW w:type="dxa" w:w="6238"/>
            <w:shd w:fill="F7F9FC" w:val="clear"/>
            <w:tcMar>
              <w:top w:type="dxa" w:w="50"/>
              <w:left w:type="dxa" w:w="90"/>
              <w:bottom w:type="dxa" w:w="50"/>
              <w:right w:type="dxa" w:w="90"/>
            </w:tcMar>
            <w:vAlign w:val="center"/>
          </w:tcPr>
          <w:p>
            <w:pPr>
              <w:spacing w:after="0" w:line="240"/>
            </w:pPr>
            <w:r>
              <w:rPr>
                <w:sz w:val="18"/>
                <w:szCs w:val="18"/>
              </w:rPr>
              <w:t xml:space="preserve">Formalisation des règles de sortie : remontée des stops, cliquet sur objectifs, allègements partiels, critère de rotation et exception « opérations sur titres ».</w:t>
            </w:r>
          </w:p>
        </w:tc>
        <w:tc>
          <w:tcPr>
            <w:tcW w:type="dxa" w:w="1200"/>
            <w:shd w:fill="F7F9FC" w:val="clear"/>
            <w:tcMar>
              <w:top w:type="dxa" w:w="50"/>
              <w:left w:type="dxa" w:w="90"/>
              <w:bottom w:type="dxa" w:w="50"/>
              <w:right w:type="dxa" w:w="90"/>
            </w:tcMar>
            <w:vAlign w:val="center"/>
          </w:tcPr>
          <w:p>
            <w:pPr>
              <w:spacing w:after="0" w:line="240"/>
            </w:pPr>
            <w:r>
              <w:rPr>
                <w:sz w:val="18"/>
                <w:szCs w:val="18"/>
              </w:rPr>
              <w:t xml:space="preserve">Remplacée</w:t>
            </w:r>
          </w:p>
        </w:tc>
      </w:tr>
      <w:tr>
        <w:tc>
          <w:tcPr>
            <w:tcW w:type="dxa" w:w="900"/>
            <w:tcMar>
              <w:top w:type="dxa" w:w="50"/>
              <w:left w:type="dxa" w:w="90"/>
              <w:bottom w:type="dxa" w:w="50"/>
              <w:right w:type="dxa" w:w="90"/>
            </w:tcMar>
            <w:vAlign w:val="center"/>
          </w:tcPr>
          <w:p>
            <w:pPr>
              <w:spacing w:after="0" w:line="240"/>
            </w:pPr>
            <w:r>
              <w:rPr>
                <w:sz w:val="18"/>
                <w:szCs w:val="18"/>
              </w:rPr>
              <w:t xml:space="preserve">2.3</w:t>
            </w:r>
          </w:p>
        </w:tc>
        <w:tc>
          <w:tcPr>
            <w:tcW w:type="dxa" w:w="1300"/>
            <w:tcMar>
              <w:top w:type="dxa" w:w="50"/>
              <w:left w:type="dxa" w:w="90"/>
              <w:bottom w:type="dxa" w:w="50"/>
              <w:right w:type="dxa" w:w="90"/>
            </w:tcMar>
            <w:vAlign w:val="center"/>
          </w:tcPr>
          <w:p>
            <w:pPr>
              <w:spacing w:after="0" w:line="240"/>
            </w:pPr>
            <w:r>
              <w:rPr>
                <w:sz w:val="18"/>
                <w:szCs w:val="18"/>
              </w:rPr>
              <w:t xml:space="preserve">21/07/2026</w:t>
            </w:r>
          </w:p>
        </w:tc>
        <w:tc>
          <w:tcPr>
            <w:tcW w:type="dxa" w:w="6238"/>
            <w:tcMar>
              <w:top w:type="dxa" w:w="50"/>
              <w:left w:type="dxa" w:w="90"/>
              <w:bottom w:type="dxa" w:w="50"/>
              <w:right w:type="dxa" w:w="90"/>
            </w:tcMar>
            <w:vAlign w:val="center"/>
          </w:tcPr>
          <w:p>
            <w:pPr>
              <w:spacing w:after="0" w:line="240"/>
            </w:pPr>
            <w:r>
              <w:rPr>
                <w:sz w:val="18"/>
                <w:szCs w:val="18"/>
              </w:rPr>
              <w:t xml:space="preserve">Élargissement des sources de signaux à quatre publications américaines (Investor’s Business Daily, Barron’s Daily, MarketBeat Daily, BambooSignal), avec mapping normatif vers les composantes du score et règles anti-double-comptage.</w:t>
            </w:r>
          </w:p>
        </w:tc>
        <w:tc>
          <w:tcPr>
            <w:tcW w:type="dxa" w:w="1200"/>
            <w:tcMar>
              <w:top w:type="dxa" w:w="50"/>
              <w:left w:type="dxa" w:w="90"/>
              <w:bottom w:type="dxa" w:w="50"/>
              <w:right w:type="dxa" w:w="90"/>
            </w:tcMar>
            <w:vAlign w:val="center"/>
          </w:tcPr>
          <w:p>
            <w:pPr>
              <w:spacing w:after="0" w:line="240"/>
            </w:pPr>
            <w:r>
              <w:rPr>
                <w:sz w:val="18"/>
                <w:szCs w:val="18"/>
              </w:rPr>
              <w:t xml:space="preserve">Version courante</w:t>
            </w:r>
          </w:p>
        </w:tc>
      </w:tr>
    </w:tbl>
    <w:p>
      <w:pPr>
        <w:spacing w:after="60" w:before="0" w:line="264"/>
      </w:pPr>
      <w:r>
        <w:t xml:space="preserve"> </w:t>
      </w:r>
    </w:p>
    <w:p>
      <w:pPr>
        <w:pStyle w:val="Heading2"/>
        <w:spacing w:after="120" w:before="240"/>
      </w:pPr>
      <w:r>
        <w:t xml:space="preserve">0.1 Ce qui change en v2.0 et pourquoi</w:t>
      </w:r>
    </w:p>
    <w:p>
      <w:pPr>
        <w:spacing w:after="100" w:before="0" w:line="264"/>
      </w:pPr>
      <w:r>
        <w:t xml:space="preserve">La v2.0 ne modifie aucun besoin fonctionnel de fond. Elle réorganise la spécification pour qu’un agent de développement IA puisse l’exécuter sans ambiguïté, sans blocage et avec une vérification systématique :</w:t>
      </w:r>
    </w:p>
    <w:p>
      <w:pPr>
        <w:pStyle w:val="ListParagraph"/>
        <w:numPr>
          <w:ilvl w:val="0"/>
          <w:numId w:val="2"/>
        </w:numPr>
        <w:spacing w:after="60" w:line="264"/>
      </w:pPr>
      <w:r>
        <w:rPr>
          <w:b/>
          <w:bCs/>
        </w:rPr>
        <w:t xml:space="preserve">Une règle = un seul endroit. </w:t>
      </w:r>
      <w:r>
        <w:t xml:space="preserve">Les règles de la section 16 (v1.2) sont fusionnées dans les sections 6 à 9. Une règle décrite deux fois avec des nuances différentes produit deux implémentations différentes.</w:t>
      </w:r>
    </w:p>
    <w:p>
      <w:pPr>
        <w:pStyle w:val="ListParagraph"/>
        <w:numPr>
          <w:ilvl w:val="0"/>
          <w:numId w:val="2"/>
        </w:numPr>
        <w:spacing w:after="60" w:line="264"/>
      </w:pPr>
      <w:r>
        <w:rPr>
          <w:b/>
          <w:bCs/>
        </w:rPr>
        <w:t xml:space="preserve">Aucune question ouverte bloquante. </w:t>
      </w:r>
      <w:r>
        <w:t xml:space="preserve">Les « décisions à valider » deviennent des décisions par défaut (§16), révisables mais toujours applicables.</w:t>
      </w:r>
    </w:p>
    <w:p>
      <w:pPr>
        <w:pStyle w:val="ListParagraph"/>
        <w:numPr>
          <w:ilvl w:val="0"/>
          <w:numId w:val="2"/>
        </w:numPr>
        <w:spacing w:after="60" w:line="264"/>
      </w:pPr>
      <w:r>
        <w:rPr>
          <w:b/>
          <w:bCs/>
        </w:rPr>
        <w:t xml:space="preserve">Découpage en lots. </w:t>
      </w:r>
      <w:r>
        <w:t xml:space="preserve">Le développement est planifié en lots verticaux (§15), chacun dimensionné pour une session Claude Code, avec tests et critères de fin.</w:t>
      </w:r>
    </w:p>
    <w:p>
      <w:pPr>
        <w:pStyle w:val="ListParagraph"/>
        <w:numPr>
          <w:ilvl w:val="0"/>
          <w:numId w:val="2"/>
        </w:numPr>
        <w:spacing w:after="60" w:line="264"/>
      </w:pPr>
      <w:r>
        <w:rPr>
          <w:b/>
          <w:bCs/>
        </w:rPr>
        <w:t xml:space="preserve">Formules normatives. </w:t>
      </w:r>
      <w:r>
        <w:t xml:space="preserve">Les calculs financiers sont écrits en pseudo-code avec cas limites (§7) ; ils sont testés avant d’être codés.</w:t>
      </w:r>
    </w:p>
    <w:p>
      <w:pPr>
        <w:pStyle w:val="ListParagraph"/>
        <w:numPr>
          <w:ilvl w:val="0"/>
          <w:numId w:val="2"/>
        </w:numPr>
        <w:spacing w:after="60" w:line="264"/>
      </w:pPr>
      <w:r>
        <w:rPr>
          <w:b/>
          <w:bCs/>
        </w:rPr>
        <w:t xml:space="preserve">Outillage explicite. </w:t>
      </w:r>
      <w:r>
        <w:t xml:space="preserve">CLAUDE.md, structure de dépôt, fixtures anonymisées et conventions techniques sont spécifiés (§2 et annexes E/F).</w:t>
      </w:r>
    </w:p>
    <w:p>
      <w:pPr>
        <w:pStyle w:val="Heading2"/>
        <w:spacing w:after="120" w:before="240"/>
      </w:pPr>
      <w:r>
        <w:t xml:space="preserve">0.2 Ce qui change en v2.1 : les marchés US et européens</w:t>
      </w:r>
    </w:p>
    <w:p>
      <w:pPr>
        <w:spacing w:after="100" w:before="0" w:line="264"/>
      </w:pPr>
      <w:r>
        <w:t xml:space="preserve">En v1.2 et v2.0, la France était le marché de plein exercice et les autres marchés un simple « périmètre secondaire » mentionné en une ligne. Cette formulation était impraticable : elle laissait le développeur inventer les horaires, la devise, le règlement et la fiscalité de chaque place. La v2.1 traite les trois zones au même niveau de précision, sans remettre en cause la primauté opérationnelle d’Euronext Paris.</w:t>
      </w:r>
    </w:p>
    <w:p>
      <w:pPr>
        <w:pStyle w:val="ListParagraph"/>
        <w:numPr>
          <w:ilvl w:val="0"/>
          <w:numId w:val="2"/>
        </w:numPr>
        <w:spacing w:after="60" w:line="264"/>
      </w:pPr>
      <w:r>
        <w:rPr>
          <w:b/>
          <w:bCs/>
        </w:rPr>
        <w:t xml:space="preserve">Nouvelle section §6.19 </w:t>
      </w:r>
      <w:r>
        <w:t xml:space="preserve">« Marchés, places de cotation et devises » : sessions, jours fériés, règlement, éligibilité PEA, retenue à la source, filtre de liquidité, place de référence unique.</w:t>
      </w:r>
    </w:p>
    <w:p>
      <w:pPr>
        <w:pStyle w:val="ListParagraph"/>
        <w:numPr>
          <w:ilvl w:val="0"/>
          <w:numId w:val="2"/>
        </w:numPr>
        <w:spacing w:after="60" w:line="264"/>
      </w:pPr>
      <w:r>
        <w:rPr>
          <w:b/>
          <w:bCs/>
        </w:rPr>
        <w:t xml:space="preserve">Nouvelles formules §7.8 et §7.9 : </w:t>
      </w:r>
      <w:r>
        <w:t xml:space="preserve">décomposition du P/L entre effet titre et effet change, exposition et stress par devise, conversion des règles horaires avec gestion de l’heure d’été.</w:t>
      </w:r>
    </w:p>
    <w:p>
      <w:pPr>
        <w:pStyle w:val="ListParagraph"/>
        <w:numPr>
          <w:ilvl w:val="0"/>
          <w:numId w:val="2"/>
        </w:numPr>
        <w:spacing w:after="60" w:line="264"/>
      </w:pPr>
      <w:r>
        <w:rPr>
          <w:b/>
          <w:bCs/>
        </w:rPr>
        <w:t xml:space="preserve">Gates et no-go par marché (§6.8) : </w:t>
      </w:r>
      <w:r>
        <w:t xml:space="preserve">un scénario américain n’est plus armé par une clôture du CAC 40 ; Fed, BCE, BoE et SNB ouvrent des fenêtres distinctes.</w:t>
      </w:r>
    </w:p>
    <w:p>
      <w:pPr>
        <w:pStyle w:val="ListParagraph"/>
        <w:numPr>
          <w:ilvl w:val="0"/>
          <w:numId w:val="2"/>
        </w:numPr>
        <w:spacing w:after="60" w:line="264"/>
      </w:pPr>
      <w:r>
        <w:rPr>
          <w:b/>
          <w:bCs/>
        </w:rPr>
        <w:t xml:space="preserve">Modèle de données étendu (§8) : </w:t>
      </w:r>
      <w:r>
        <w:t xml:space="preserve">entités Market, MarketHoliday, Listing et WithholdingRule ; un instrument peut être coté sur plusieurs places sans créer deux positions.</w:t>
      </w:r>
    </w:p>
    <w:p>
      <w:pPr>
        <w:pStyle w:val="ListParagraph"/>
        <w:numPr>
          <w:ilvl w:val="0"/>
          <w:numId w:val="2"/>
        </w:numPr>
        <w:spacing w:after="60" w:line="264"/>
      </w:pPr>
      <w:r>
        <w:rPr>
          <w:b/>
          <w:bCs/>
        </w:rPr>
        <w:t xml:space="preserve">Contraintes conservées : </w:t>
      </w:r>
      <w:r>
        <w:t xml:space="preserve">le SRD reste limité à Euronext Paris, aucune couverture de change n’est proposée, et aucune séance hors séance principale n’est traitée (§16).</w:t>
      </w:r>
    </w:p>
    <w:p>
      <w:pPr>
        <w:pStyle w:val="ListParagraph"/>
        <w:numPr>
          <w:ilvl w:val="0"/>
          <w:numId w:val="2"/>
        </w:numPr>
        <w:spacing w:after="60" w:line="264"/>
      </w:pPr>
      <w:r>
        <w:rPr>
          <w:b/>
          <w:bCs/>
        </w:rPr>
        <w:t xml:space="preserve">Nouveaux identifiants : </w:t>
      </w:r>
      <w:r>
        <w:t xml:space="preserve">FR-230 à FR-244, REC-40 à REC-48, lots L02b et L19. Les identifiants antérieurs sont inchangés.</w:t>
      </w:r>
    </w:p>
    <w:p>
      <w:pPr>
        <w:pStyle w:val="Heading2"/>
        <w:spacing w:after="120" w:before="240"/>
      </w:pPr>
      <w:r>
        <w:t xml:space="preserve">0.3 Ce qui change en v2.2 : les règles de sortie</w:t>
      </w:r>
    </w:p>
    <w:p>
      <w:pPr>
        <w:spacing w:after="100" w:before="0" w:line="264"/>
      </w:pPr>
      <w:r>
        <w:t xml:space="preserve">Un audit de la v2.1 a montré que le document nommait trois opérations sans en donner la règle : la remontée des stops, l’allègement à l’objectif et l’arbitrage dit « meilleure opportunité ». Or la remontée des stops est l’opération la plus fréquente du système, exécutée deux à trois fois par semaine. Laissée implicite, elle aurait été inventée par l’agent de développement. La v2.2 la rend normative (§7.10), à partir de la pratique effective du projet et non d’une convention générique.</w:t>
      </w:r>
    </w:p>
    <w:p>
      <w:pPr>
        <w:pStyle w:val="ListParagraph"/>
        <w:numPr>
          <w:ilvl w:val="0"/>
          <w:numId w:val="2"/>
        </w:numPr>
        <w:spacing w:after="60" w:line="264"/>
      </w:pPr>
      <w:r>
        <w:rPr>
          <w:b/>
          <w:bCs/>
        </w:rPr>
        <w:t xml:space="preserve">Remontée du stop : </w:t>
      </w:r>
      <w:r>
        <w:t xml:space="preserve">dernier creux de consolidation, ou 5–7 % sous le cours pour les lignes liquides ; invariant « ne descend jamais » exprimé comme une propriété testable.</w:t>
      </w:r>
    </w:p>
    <w:p>
      <w:pPr>
        <w:pStyle w:val="ListParagraph"/>
        <w:numPr>
          <w:ilvl w:val="0"/>
          <w:numId w:val="2"/>
        </w:numPr>
        <w:spacing w:after="60" w:line="264"/>
      </w:pPr>
      <w:r>
        <w:rPr>
          <w:b/>
          <w:bCs/>
        </w:rPr>
        <w:t xml:space="preserve">Cliquet et allègements : </w:t>
      </w:r>
      <w:r>
        <w:t xml:space="preserve">point mort à l’objectif 1, palier précédent verrouillé au-delà, allègement d’un tiers proposé à chaque objectif.</w:t>
      </w:r>
    </w:p>
    <w:p>
      <w:pPr>
        <w:pStyle w:val="ListParagraph"/>
        <w:numPr>
          <w:ilvl w:val="0"/>
          <w:numId w:val="2"/>
        </w:numPr>
        <w:spacing w:after="60" w:line="264"/>
      </w:pPr>
      <w:r>
        <w:rPr>
          <w:b/>
          <w:bCs/>
        </w:rPr>
        <w:t xml:space="preserve">Base d’évaluation : </w:t>
      </w:r>
      <w:r>
        <w:t xml:space="preserve">rupture de stop appréciée en clôture, alors que l’ordre déposé chez le courtier reste intraday — l’écart est affiché, jamais corrigé en silence.</w:t>
      </w:r>
    </w:p>
    <w:p>
      <w:pPr>
        <w:pStyle w:val="ListParagraph"/>
        <w:numPr>
          <w:ilvl w:val="0"/>
          <w:numId w:val="2"/>
        </w:numPr>
        <w:spacing w:after="60" w:line="264"/>
      </w:pPr>
      <w:r>
        <w:rPr>
          <w:b/>
          <w:bCs/>
        </w:rPr>
        <w:t xml:space="preserve">Rotation : </w:t>
      </w:r>
      <w:r>
        <w:t xml:space="preserve">« meilleure opportunité » devient un critère chiffré (écart de score, momentum relatif négatif, absence de catalyseur imminent, heat libéré suffisant).</w:t>
      </w:r>
    </w:p>
    <w:p>
      <w:pPr>
        <w:pStyle w:val="ListParagraph"/>
        <w:numPr>
          <w:ilvl w:val="0"/>
          <w:numId w:val="2"/>
        </w:numPr>
        <w:spacing w:after="60" w:line="264"/>
      </w:pPr>
      <w:r>
        <w:rPr>
          <w:b/>
          <w:bCs/>
        </w:rPr>
        <w:t xml:space="preserve">Exception unique à l’invariant : </w:t>
      </w:r>
      <w:r>
        <w:t xml:space="preserve">les opérations sur titres, dont l’ajustement mécanique de stop ne doit pas être compté comme une entorse à la discipline.</w:t>
      </w:r>
    </w:p>
    <w:p>
      <w:pPr>
        <w:pStyle w:val="ListParagraph"/>
        <w:numPr>
          <w:ilvl w:val="0"/>
          <w:numId w:val="2"/>
        </w:numPr>
        <w:spacing w:after="60" w:line="264"/>
      </w:pPr>
      <w:r>
        <w:rPr>
          <w:b/>
          <w:bCs/>
        </w:rPr>
        <w:t xml:space="preserve">Nouveaux identifiants : </w:t>
      </w:r>
      <w:r>
        <w:t xml:space="preserve">FR-250 à FR-254, REC-50 à REC-54, lot L08b.</w:t>
      </w:r>
    </w:p>
    <w:p>
      <w:pPr>
        <w:pStyle w:val="Heading2"/>
        <w:spacing w:after="120" w:before="240"/>
      </w:pPr>
      <w:r>
        <w:t xml:space="preserve">0.4 Ce qui change en v2.3 : quatre sources américaines</w:t>
      </w:r>
    </w:p>
    <w:p>
      <w:pPr>
        <w:spacing w:after="100" w:before="0" w:line="264"/>
      </w:pPr>
      <w:r>
        <w:t xml:space="preserve">La v2.1 avait laissé un déséquilibre : les marchés américains devenaient de plein exercice alors qu’aucun flux de signaux ne les alimentait. Quatre publications complètent le dispositif — Investor’s Business Daily, Barron’s Daily, MarketBeat Daily et BambooSignal. Leur ajout appelle une règle nouvelle : plusieurs sources décrivant le même fait gonfleraient mécaniquement le score si rien ne l’empêchait (§6.20).</w:t>
      </w:r>
    </w:p>
    <w:p>
      <w:pPr>
        <w:pStyle w:val="ListParagraph"/>
        <w:numPr>
          <w:ilvl w:val="0"/>
          <w:numId w:val="2"/>
        </w:numPr>
        <w:spacing w:after="60" w:line="264"/>
      </w:pPr>
      <w:r>
        <w:rPr>
          <w:b/>
          <w:bCs/>
        </w:rPr>
        <w:t xml:space="preserve">Mapping normatif : </w:t>
      </w:r>
      <w:r>
        <w:t xml:space="preserve">chaque source alimente des composantes précises du score et s’en voit interdire d’autres — la force relative est technique, le consensus d’analystes est un catalyseur, l’éditorial est macro.</w:t>
      </w:r>
    </w:p>
    <w:p>
      <w:pPr>
        <w:pStyle w:val="ListParagraph"/>
        <w:numPr>
          <w:ilvl w:val="0"/>
          <w:numId w:val="2"/>
        </w:numPr>
        <w:spacing w:after="60" w:line="264"/>
      </w:pPr>
      <w:r>
        <w:rPr>
          <w:b/>
          <w:bCs/>
        </w:rPr>
        <w:t xml:space="preserve">Anti-double-comptage : </w:t>
      </w:r>
      <w:r>
        <w:t xml:space="preserve">un fait rapporté par deux sources dans une fenêtre de 5 séances ne compte qu’une fois, plafonné à la source la plus proche du fait.</w:t>
      </w:r>
    </w:p>
    <w:p>
      <w:pPr>
        <w:pStyle w:val="ListParagraph"/>
        <w:numPr>
          <w:ilvl w:val="0"/>
          <w:numId w:val="2"/>
        </w:numPr>
        <w:spacing w:after="60" w:line="264"/>
      </w:pPr>
      <w:r>
        <w:rPr>
          <w:b/>
          <w:bCs/>
        </w:rPr>
        <w:t xml:space="preserve">Nouveau gate américain : </w:t>
      </w:r>
      <w:r>
        <w:t xml:space="preserve">l’état de marché quotidien d’IBD complète le seuil S&amp;P 500, comme la clôture du CAC 40 le fait en France.</w:t>
      </w:r>
    </w:p>
    <w:p>
      <w:pPr>
        <w:pStyle w:val="ListParagraph"/>
        <w:numPr>
          <w:ilvl w:val="0"/>
          <w:numId w:val="2"/>
        </w:numPr>
        <w:spacing w:after="60" w:line="264"/>
      </w:pPr>
      <w:r>
        <w:rPr>
          <w:b/>
          <w:bCs/>
        </w:rPr>
        <w:t xml:space="preserve">BambooSignal : </w:t>
      </w:r>
      <w:r>
        <w:t xml:space="preserve">source déclarée mais non caractérisée. Statut WATCH par défaut — importée et tracée, sans contribution au score ni armement de scénario, jusqu’à documentation de son format.</w:t>
      </w:r>
    </w:p>
    <w:p>
      <w:pPr>
        <w:pStyle w:val="ListParagraph"/>
        <w:numPr>
          <w:ilvl w:val="0"/>
          <w:numId w:val="2"/>
        </w:numPr>
        <w:spacing w:after="60" w:line="264"/>
      </w:pPr>
      <w:r>
        <w:rPr>
          <w:b/>
          <w:bCs/>
        </w:rPr>
        <w:t xml:space="preserve">Nouveaux identifiants : </w:t>
      </w:r>
      <w:r>
        <w:t xml:space="preserve">FR-260 à FR-264, REC-60 à REC-63 ; lot L14 étendu aux parseurs d’e-mails.</w:t>
      </w:r>
    </w:p>
    <w:p>
      <w:pPr>
        <w:pStyle w:val="Heading2"/>
        <w:spacing w:after="120" w:before="240"/>
      </w:pPr>
      <w:r>
        <w:t xml:space="preserve">0.5 Sources fonctionnelles</w:t>
      </w:r>
    </w:p>
    <w:p>
      <w:pPr>
        <w:spacing w:after="100" w:before="0" w:line="264"/>
      </w:pPr>
      <w:r>
        <w:t xml:space="preserve">Historique du projet Agent Investissement France (rapports, décisions, stops, SRD, PEA, liquidités) ; règles de scoring sur 100 et seuils BUY/WATCH/HOLD/SELL/NO TRADE ; fichiers réels Saxo (.xlsx), Boursobank (.csv), cotations Euronext (.csv), newsletters Momentum (.docx) ; export Claude officiel du projet « Investissement Bourse » (mémoire et conversations du 26/06 au 20/07/2026). La traçabilité des règles issues de Claude est conservée (§6.18).</w:t>
      </w:r>
    </w:p>
    <w:p>
      <w:r>
        <w:br w:type="page"/>
      </w:r>
    </w:p>
    <w:p>
      <w:pPr>
        <w:pStyle w:val="Heading1"/>
        <w:spacing w:after="140" w:before="300"/>
      </w:pPr>
      <w:r>
        <w:t xml:space="preserve">Table des matières</w:t>
      </w:r>
    </w:p>
    <w:p>
      <w:pPr>
        <w:spacing w:after="40" w:before="0" w:line="264"/>
      </w:pPr>
      <w:r>
        <w:t xml:space="preserve">1. Résumé exécutif</w:t>
      </w:r>
    </w:p>
    <w:p>
      <w:pPr>
        <w:spacing w:after="40" w:before="0" w:line="264"/>
      </w:pPr>
      <w:r>
        <w:t xml:space="preserve">2. Développement avec Claude Code</w:t>
      </w:r>
    </w:p>
    <w:p>
      <w:pPr>
        <w:spacing w:after="40" w:before="0" w:line="264"/>
      </w:pPr>
      <w:r>
        <w:t xml:space="preserve">3. Contexte, profil d’utilisation et principes</w:t>
      </w:r>
    </w:p>
    <w:p>
      <w:pPr>
        <w:spacing w:after="40" w:before="0" w:line="264"/>
      </w:pPr>
      <w:r>
        <w:t xml:space="preserve">4. Périmètre et exclusions</w:t>
      </w:r>
    </w:p>
    <w:p>
      <w:pPr>
        <w:spacing w:after="40" w:before="0" w:line="264"/>
      </w:pPr>
      <w:r>
        <w:t xml:space="preserve">5. Parcours et cas d’usage</w:t>
      </w:r>
    </w:p>
    <w:p>
      <w:pPr>
        <w:spacing w:after="40" w:before="0" w:line="264"/>
      </w:pPr>
      <w:r>
        <w:t xml:space="preserve">6. Exigences fonctionnelles</w:t>
      </w:r>
    </w:p>
    <w:p>
      <w:pPr>
        <w:spacing w:after="40" w:before="0" w:line="264"/>
      </w:pPr>
      <w:r>
        <w:t xml:space="preserve">7. Règles métier — formules normatives</w:t>
      </w:r>
    </w:p>
    <w:p>
      <w:pPr>
        <w:spacing w:after="40" w:before="0" w:line="264"/>
      </w:pPr>
      <w:r>
        <w:t xml:space="preserve">8. Modèle de données</w:t>
      </w:r>
    </w:p>
    <w:p>
      <w:pPr>
        <w:spacing w:after="40" w:before="0" w:line="264"/>
      </w:pPr>
      <w:r>
        <w:t xml:space="preserve">9. Interface web et ergonomie</w:t>
      </w:r>
    </w:p>
    <w:p>
      <w:pPr>
        <w:spacing w:after="40" w:before="0" w:line="264"/>
      </w:pPr>
      <w:r>
        <w:t xml:space="preserve">10. Architecture technique locale</w:t>
      </w:r>
    </w:p>
    <w:p>
      <w:pPr>
        <w:spacing w:after="40" w:before="0" w:line="264"/>
      </w:pPr>
      <w:r>
        <w:t xml:space="preserve">11. Sécurité, confidentialité et audit</w:t>
      </w:r>
    </w:p>
    <w:p>
      <w:pPr>
        <w:spacing w:after="40" w:before="0" w:line="264"/>
      </w:pPr>
      <w:r>
        <w:t xml:space="preserve">12. Exigences non fonctionnelles</w:t>
      </w:r>
    </w:p>
    <w:p>
      <w:pPr>
        <w:spacing w:after="40" w:before="0" w:line="264"/>
      </w:pPr>
      <w:r>
        <w:t xml:space="preserve">13. Reprise des données existantes</w:t>
      </w:r>
    </w:p>
    <w:p>
      <w:pPr>
        <w:spacing w:after="40" w:before="0" w:line="264"/>
      </w:pPr>
      <w:r>
        <w:t xml:space="preserve">14. Stratégie de test et recette</w:t>
      </w:r>
    </w:p>
    <w:p>
      <w:pPr>
        <w:spacing w:after="40" w:before="0" w:line="264"/>
      </w:pPr>
      <w:r>
        <w:t xml:space="preserve">15. Plan de développement en lots (phases 1 et 2)</w:t>
      </w:r>
    </w:p>
    <w:p>
      <w:pPr>
        <w:spacing w:after="40" w:before="0" w:line="264"/>
      </w:pPr>
      <w:r>
        <w:t xml:space="preserve">16. Décisions par défaut</w:t>
      </w:r>
    </w:p>
    <w:p>
      <w:pPr>
        <w:spacing w:after="40" w:before="0" w:line="264"/>
      </w:pPr>
      <w:r>
        <w:t xml:space="preserve">Annexe A — Matrice des exigences et traçabilité</w:t>
      </w:r>
    </w:p>
    <w:p>
      <w:pPr>
        <w:spacing w:after="40" w:before="0" w:line="264"/>
      </w:pPr>
      <w:r>
        <w:t xml:space="preserve">Annexe B — Dictionnaire KPI</w:t>
      </w:r>
    </w:p>
    <w:p>
      <w:pPr>
        <w:spacing w:after="40" w:before="0" w:line="264"/>
      </w:pPr>
      <w:r>
        <w:t xml:space="preserve">Annexe C — Glossaire</w:t>
      </w:r>
    </w:p>
    <w:p>
      <w:pPr>
        <w:spacing w:after="40" w:before="0" w:line="264"/>
      </w:pPr>
      <w:r>
        <w:t xml:space="preserve">Annexe D — Mapping des fichiers réels</w:t>
      </w:r>
    </w:p>
    <w:p>
      <w:pPr>
        <w:spacing w:after="40" w:before="0" w:line="264"/>
      </w:pPr>
      <w:r>
        <w:t xml:space="preserve">Annexe E — Modèle de fichier CLAUDE.md</w:t>
      </w:r>
    </w:p>
    <w:p>
      <w:pPr>
        <w:spacing w:after="40" w:before="0" w:line="264"/>
      </w:pPr>
      <w:r>
        <w:t xml:space="preserve">Annexe F — Modèle de fiche de lot et prompt de session</w:t>
      </w:r>
    </w:p>
    <w:p>
      <w:r>
        <w:br w:type="page"/>
      </w:r>
    </w:p>
    <w:p>
      <w:pPr>
        <w:pStyle w:val="Heading1"/>
        <w:spacing w:after="140" w:before="300"/>
      </w:pPr>
      <w:r>
        <w:t xml:space="preserve">1. Résumé exécutif</w:t>
      </w:r>
    </w:p>
    <w:p>
      <w:pPr>
        <w:spacing w:after="100" w:before="0" w:line="264"/>
      </w:pPr>
      <w:r>
        <w:t xml:space="preserve">L’objectif est de construire une application locale, accessible depuis un navigateur, qui consolide les comptes-titres (CTO, SRD), le PEA, les liquidités et les sources d’analyse afin de produire une aide à la décision robuste, traçable et améliorable. L’outil historise non seulement les transactions, mais aussi les préconisations, scénarios, données et hypothèses disponibles au moment de chaque décision.</w:t>
      </w:r>
    </w:p>
    <w:p>
      <w:pPr>
        <w:spacing w:after="100" w:before="0" w:line="264"/>
      </w:pPr>
      <w:r>
        <w:t xml:space="preserve">La valeur différenciante est la boucle d’apprentissage : le système mesure ce qui a réellement fonctionné, distingue la qualité de l’idée de la qualité de l’exécution, et propose des ajustements de stratégie fondés sur des échantillons suffisants. Toute modification de règle reste soumise à validation humaine et est versionnée.</w:t>
      </w:r>
    </w:p>
    <w:p>
      <w:pPr>
        <w:spacing w:after="100" w:before="0" w:line="264"/>
      </w:pPr>
      <w:r>
        <w:t xml:space="preserve">Le développement s’effectue en deux phases obligatoires : une phase 1 pleinement exploitable avec chargement manuel quotidien des données via l’interface web, puis une phase 2 d’automatisation progressive par n8n, sans jamais supprimer le mode manuel. La v2.0 ajoute une contrainte de méthode : le développement est réalisé avec Claude Code, par lots courts, testés et validés un par un (§2 et §15).</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7738"/>
      </w:tblGrid>
      <w:tr>
        <w:trPr>
          <w:tblHeader/>
        </w:trPr>
        <w:tc>
          <w:tcPr>
            <w:tcW w:type="dxa" w:w="1900"/>
            <w:shd w:fill="1F3864" w:val="clear"/>
            <w:tcMar>
              <w:top w:type="dxa" w:w="50"/>
              <w:left w:type="dxa" w:w="90"/>
              <w:bottom w:type="dxa" w:w="50"/>
              <w:right w:type="dxa" w:w="90"/>
            </w:tcMar>
            <w:vAlign w:val="center"/>
          </w:tcPr>
          <w:p>
            <w:pPr>
              <w:spacing w:after="0" w:line="240"/>
            </w:pPr>
            <w:r>
              <w:rPr>
                <w:b/>
                <w:bCs/>
                <w:color w:val="FFFFFF"/>
                <w:sz w:val="18"/>
                <w:szCs w:val="18"/>
              </w:rPr>
              <w:t xml:space="preserve">Objectif</w:t>
            </w:r>
          </w:p>
        </w:tc>
        <w:tc>
          <w:tcPr>
            <w:tcW w:type="dxa" w:w="7738"/>
            <w:shd w:fill="1F3864" w:val="clear"/>
            <w:tcMar>
              <w:top w:type="dxa" w:w="50"/>
              <w:left w:type="dxa" w:w="90"/>
              <w:bottom w:type="dxa" w:w="50"/>
              <w:right w:type="dxa" w:w="90"/>
            </w:tcMar>
            <w:vAlign w:val="center"/>
          </w:tcPr>
          <w:p>
            <w:pPr>
              <w:spacing w:after="0" w:line="240"/>
            </w:pPr>
            <w:r>
              <w:rPr>
                <w:b/>
                <w:bCs/>
                <w:color w:val="FFFFFF"/>
                <w:sz w:val="18"/>
                <w:szCs w:val="18"/>
              </w:rPr>
              <w:t xml:space="preserve">Résultat attendu</w:t>
            </w:r>
          </w:p>
        </w:tc>
      </w:tr>
      <w:tr>
        <w:tc>
          <w:tcPr>
            <w:tcW w:type="dxa" w:w="1900"/>
            <w:tcMar>
              <w:top w:type="dxa" w:w="50"/>
              <w:left w:type="dxa" w:w="90"/>
              <w:bottom w:type="dxa" w:w="50"/>
              <w:right w:type="dxa" w:w="90"/>
            </w:tcMar>
            <w:vAlign w:val="center"/>
          </w:tcPr>
          <w:p>
            <w:pPr>
              <w:spacing w:after="0" w:line="240"/>
            </w:pPr>
            <w:r>
              <w:rPr>
                <w:sz w:val="18"/>
                <w:szCs w:val="18"/>
              </w:rPr>
              <w:t xml:space="preserve">Centraliser</w:t>
            </w:r>
          </w:p>
        </w:tc>
        <w:tc>
          <w:tcPr>
            <w:tcW w:type="dxa" w:w="7738"/>
            <w:tcMar>
              <w:top w:type="dxa" w:w="50"/>
              <w:left w:type="dxa" w:w="90"/>
              <w:bottom w:type="dxa" w:w="50"/>
              <w:right w:type="dxa" w:w="90"/>
            </w:tcMar>
            <w:vAlign w:val="center"/>
          </w:tcPr>
          <w:p>
            <w:pPr>
              <w:spacing w:after="0" w:line="240"/>
            </w:pPr>
            <w:r>
              <w:rPr>
                <w:sz w:val="18"/>
                <w:szCs w:val="18"/>
              </w:rPr>
              <w:t xml:space="preserve">Vue consolidée Saxo CTO/SRD, Boursobank PEA, liquidités et réserves patrimoniales.</w:t>
            </w:r>
          </w:p>
        </w:tc>
      </w:tr>
      <w:tr>
        <w:tc>
          <w:tcPr>
            <w:tcW w:type="dxa" w:w="1900"/>
            <w:shd w:fill="F7F9FC" w:val="clear"/>
            <w:tcMar>
              <w:top w:type="dxa" w:w="50"/>
              <w:left w:type="dxa" w:w="90"/>
              <w:bottom w:type="dxa" w:w="50"/>
              <w:right w:type="dxa" w:w="90"/>
            </w:tcMar>
            <w:vAlign w:val="center"/>
          </w:tcPr>
          <w:p>
            <w:pPr>
              <w:spacing w:after="0" w:line="240"/>
            </w:pPr>
            <w:r>
              <w:rPr>
                <w:sz w:val="18"/>
                <w:szCs w:val="18"/>
              </w:rPr>
              <w:t xml:space="preserve">Historiser</w:t>
            </w:r>
          </w:p>
        </w:tc>
        <w:tc>
          <w:tcPr>
            <w:tcW w:type="dxa" w:w="7738"/>
            <w:shd w:fill="F7F9FC" w:val="clear"/>
            <w:tcMar>
              <w:top w:type="dxa" w:w="50"/>
              <w:left w:type="dxa" w:w="90"/>
              <w:bottom w:type="dxa" w:w="50"/>
              <w:right w:type="dxa" w:w="90"/>
            </w:tcMar>
            <w:vAlign w:val="center"/>
          </w:tcPr>
          <w:p>
            <w:pPr>
              <w:spacing w:after="0" w:line="240"/>
            </w:pPr>
            <w:r>
              <w:rPr>
                <w:sz w:val="18"/>
                <w:szCs w:val="18"/>
              </w:rPr>
              <w:t xml:space="preserve">Chaque recommandation, scénario, ordre potentiel, ordre réel, transaction, stop, source et snapshot de données.</w:t>
            </w:r>
          </w:p>
        </w:tc>
      </w:tr>
      <w:tr>
        <w:tc>
          <w:tcPr>
            <w:tcW w:type="dxa" w:w="1900"/>
            <w:tcMar>
              <w:top w:type="dxa" w:w="50"/>
              <w:left w:type="dxa" w:w="90"/>
              <w:bottom w:type="dxa" w:w="50"/>
              <w:right w:type="dxa" w:w="90"/>
            </w:tcMar>
            <w:vAlign w:val="center"/>
          </w:tcPr>
          <w:p>
            <w:pPr>
              <w:spacing w:after="0" w:line="240"/>
            </w:pPr>
            <w:r>
              <w:rPr>
                <w:sz w:val="18"/>
                <w:szCs w:val="18"/>
              </w:rPr>
              <w:t xml:space="preserve">Mesurer</w:t>
            </w:r>
          </w:p>
        </w:tc>
        <w:tc>
          <w:tcPr>
            <w:tcW w:type="dxa" w:w="7738"/>
            <w:tcMar>
              <w:top w:type="dxa" w:w="50"/>
              <w:left w:type="dxa" w:w="90"/>
              <w:bottom w:type="dxa" w:w="50"/>
              <w:right w:type="dxa" w:w="90"/>
            </w:tcMar>
            <w:vAlign w:val="center"/>
          </w:tcPr>
          <w:p>
            <w:pPr>
              <w:spacing w:after="0" w:line="240"/>
            </w:pPr>
            <w:r>
              <w:rPr>
                <w:sz w:val="18"/>
                <w:szCs w:val="18"/>
              </w:rPr>
              <w:t xml:space="preserve">P/L réalisé et latent, rendement, drawdown, hit rate, profit factor, MFE/MAE, coûts, slippage, efficacité des stops.</w:t>
            </w:r>
          </w:p>
        </w:tc>
      </w:tr>
      <w:tr>
        <w:tc>
          <w:tcPr>
            <w:tcW w:type="dxa" w:w="1900"/>
            <w:shd w:fill="F7F9FC" w:val="clear"/>
            <w:tcMar>
              <w:top w:type="dxa" w:w="50"/>
              <w:left w:type="dxa" w:w="90"/>
              <w:bottom w:type="dxa" w:w="50"/>
              <w:right w:type="dxa" w:w="90"/>
            </w:tcMar>
            <w:vAlign w:val="center"/>
          </w:tcPr>
          <w:p>
            <w:pPr>
              <w:spacing w:after="0" w:line="240"/>
            </w:pPr>
            <w:r>
              <w:rPr>
                <w:sz w:val="18"/>
                <w:szCs w:val="18"/>
              </w:rPr>
              <w:t xml:space="preserve">Comprendre</w:t>
            </w:r>
          </w:p>
        </w:tc>
        <w:tc>
          <w:tcPr>
            <w:tcW w:type="dxa" w:w="7738"/>
            <w:shd w:fill="F7F9FC" w:val="clear"/>
            <w:tcMar>
              <w:top w:type="dxa" w:w="50"/>
              <w:left w:type="dxa" w:w="90"/>
              <w:bottom w:type="dxa" w:w="50"/>
              <w:right w:type="dxa" w:w="90"/>
            </w:tcMar>
            <w:vAlign w:val="center"/>
          </w:tcPr>
          <w:p>
            <w:pPr>
              <w:spacing w:after="0" w:line="240"/>
            </w:pPr>
            <w:r>
              <w:rPr>
                <w:sz w:val="18"/>
                <w:szCs w:val="18"/>
              </w:rPr>
              <w:t xml:space="preserve">Attribution par score, setup, source, horizon, secteur, marché, compte, risque, catalyseur et décision utilisateur.</w:t>
            </w:r>
          </w:p>
        </w:tc>
      </w:tr>
      <w:tr>
        <w:tc>
          <w:tcPr>
            <w:tcW w:type="dxa" w:w="1900"/>
            <w:tcMar>
              <w:top w:type="dxa" w:w="50"/>
              <w:left w:type="dxa" w:w="90"/>
              <w:bottom w:type="dxa" w:w="50"/>
              <w:right w:type="dxa" w:w="90"/>
            </w:tcMar>
            <w:vAlign w:val="center"/>
          </w:tcPr>
          <w:p>
            <w:pPr>
              <w:spacing w:after="0" w:line="240"/>
            </w:pPr>
            <w:r>
              <w:rPr>
                <w:sz w:val="18"/>
                <w:szCs w:val="18"/>
              </w:rPr>
              <w:t xml:space="preserve">Améliorer</w:t>
            </w:r>
          </w:p>
        </w:tc>
        <w:tc>
          <w:tcPr>
            <w:tcW w:type="dxa" w:w="7738"/>
            <w:tcMar>
              <w:top w:type="dxa" w:w="50"/>
              <w:left w:type="dxa" w:w="90"/>
              <w:bottom w:type="dxa" w:w="50"/>
              <w:right w:type="dxa" w:w="90"/>
            </w:tcMar>
            <w:vAlign w:val="center"/>
          </w:tcPr>
          <w:p>
            <w:pPr>
              <w:spacing w:after="0" w:line="240"/>
            </w:pPr>
            <w:r>
              <w:rPr>
                <w:sz w:val="18"/>
                <w:szCs w:val="18"/>
              </w:rPr>
              <w:t xml:space="preserve">Propositions de changements de stratégie, testées sur l’historique, versionnées et approuvées manuellement.</w:t>
            </w:r>
          </w:p>
        </w:tc>
      </w:tr>
      <w:tr>
        <w:tc>
          <w:tcPr>
            <w:tcW w:type="dxa" w:w="1900"/>
            <w:shd w:fill="F7F9FC" w:val="clear"/>
            <w:tcMar>
              <w:top w:type="dxa" w:w="50"/>
              <w:left w:type="dxa" w:w="90"/>
              <w:bottom w:type="dxa" w:w="50"/>
              <w:right w:type="dxa" w:w="90"/>
            </w:tcMar>
            <w:vAlign w:val="center"/>
          </w:tcPr>
          <w:p>
            <w:pPr>
              <w:spacing w:after="0" w:line="240"/>
            </w:pPr>
            <w:r>
              <w:rPr>
                <w:sz w:val="18"/>
                <w:szCs w:val="18"/>
              </w:rPr>
              <w:t xml:space="preserve">Sécuriser</w:t>
            </w:r>
          </w:p>
        </w:tc>
        <w:tc>
          <w:tcPr>
            <w:tcW w:type="dxa" w:w="7738"/>
            <w:shd w:fill="F7F9FC" w:val="clear"/>
            <w:tcMar>
              <w:top w:type="dxa" w:w="50"/>
              <w:left w:type="dxa" w:w="90"/>
              <w:bottom w:type="dxa" w:w="50"/>
              <w:right w:type="dxa" w:w="90"/>
            </w:tcMar>
            <w:vAlign w:val="center"/>
          </w:tcPr>
          <w:p>
            <w:pPr>
              <w:spacing w:after="0" w:line="240"/>
            </w:pPr>
            <w:r>
              <w:rPr>
                <w:sz w:val="18"/>
                <w:szCs w:val="18"/>
              </w:rPr>
              <w:t xml:space="preserve">Alertes : ordres orphelins, doublons, quantités incohérentes, heat, calendrier SRD, no-go macro, données périmées.</w:t>
            </w:r>
          </w:p>
        </w:tc>
      </w:tr>
    </w:tbl>
    <w:p>
      <w:pPr>
        <w:spacing w:after="60" w:before="0" w:line="264"/>
      </w:pPr>
      <w:r>
        <w:t xml:space="preserve"> </w:t>
      </w:r>
    </w:p>
    <w:tbl>
      <w:tblPr>
        <w:tblW w:type="dxa" w:w="9638"/>
        <w:tblBorders>
          <w:top w:val="single" w:color="BFBFBF" w:sz="4"/>
          <w:left w:val="single" w:color="1F3864" w:sz="18"/>
          <w:bottom w:val="single" w:color="BFBFBF" w:sz="4"/>
          <w:right w:val="single" w:color="BFBFBF" w:sz="4"/>
          <w:insideH w:val="single" w:color="BFBFBF" w:sz="4"/>
          <w:insideV w:val="single" w:color="BFBFBF" w:sz="4"/>
        </w:tblBorders>
      </w:tblPr>
      <w:tblGrid>
        <w:gridCol w:w="9638"/>
      </w:tblGrid>
      <w:tr>
        <w:tc>
          <w:tcPr>
            <w:tcW w:type="dxa" w:w="9638"/>
            <w:shd w:fill="FBEAEA" w:val="clear"/>
            <w:tcMar>
              <w:top w:type="dxa" w:w="90"/>
              <w:left w:type="dxa" w:w="140"/>
              <w:bottom w:type="dxa" w:w="90"/>
              <w:right w:type="dxa" w:w="140"/>
            </w:tcMar>
          </w:tcPr>
          <w:p>
            <w:pPr>
              <w:spacing w:after="40" w:before="0" w:line="264"/>
            </w:pPr>
            <w:r>
              <w:rPr>
                <w:b/>
                <w:bCs/>
                <w:color w:val="1F3864"/>
              </w:rPr>
              <w:t xml:space="preserve">Décision et exécution</w:t>
            </w:r>
          </w:p>
          <w:p>
            <w:pPr>
              <w:spacing w:after="0" w:before="0" w:line="264"/>
            </w:pPr>
            <w:r>
              <w:t xml:space="preserve">L’outil fournit des recommandations et des ordres manuels potentiels. Il n’envoie aucun ordre au courtier, ne détient aucun pouvoir discrétionnaire et ne garantit aucun gain.</w:t>
            </w:r>
          </w:p>
        </w:tc>
      </w:tr>
    </w:tbl>
    <w:p>
      <w:r>
        <w:br w:type="page"/>
      </w:r>
    </w:p>
    <w:p>
      <w:pPr>
        <w:pStyle w:val="Heading1"/>
        <w:spacing w:after="140" w:before="300"/>
      </w:pPr>
      <w:r>
        <w:t xml:space="preserve">2. Développement avec Claude Code</w:t>
      </w:r>
    </w:p>
    <w:p>
      <w:pPr>
        <w:spacing w:after="100" w:before="0" w:line="264"/>
      </w:pPr>
      <w:r>
        <w:t xml:space="preserve">Cette section est normative : elle définit la méthode de développement. Elle conditionne la qualité du résultat autant que les exigences fonctionnelles.</w:t>
      </w:r>
    </w:p>
    <w:p>
      <w:pPr>
        <w:pStyle w:val="Heading2"/>
        <w:spacing w:after="120" w:before="240"/>
      </w:pPr>
      <w:r>
        <w:t xml:space="preserve">2.1 Principes d’une spécification exécutable par un agent IA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7338"/>
      </w:tblGrid>
      <w:tr>
        <w:trPr>
          <w:tblHeader/>
        </w:trPr>
        <w:tc>
          <w:tcPr>
            <w:tcW w:type="dxa" w:w="2300"/>
            <w:shd w:fill="1F3864" w:val="clear"/>
            <w:tcMar>
              <w:top w:type="dxa" w:w="50"/>
              <w:left w:type="dxa" w:w="90"/>
              <w:bottom w:type="dxa" w:w="50"/>
              <w:right w:type="dxa" w:w="90"/>
            </w:tcMar>
            <w:vAlign w:val="center"/>
          </w:tcPr>
          <w:p>
            <w:pPr>
              <w:spacing w:after="0" w:line="240"/>
            </w:pPr>
            <w:r>
              <w:rPr>
                <w:b/>
                <w:bCs/>
                <w:color w:val="FFFFFF"/>
                <w:sz w:val="18"/>
                <w:szCs w:val="18"/>
              </w:rPr>
              <w:t xml:space="preserve">Principe</w:t>
            </w:r>
          </w:p>
        </w:tc>
        <w:tc>
          <w:tcPr>
            <w:tcW w:type="dxa" w:w="7338"/>
            <w:shd w:fill="1F3864" w:val="clear"/>
            <w:tcMar>
              <w:top w:type="dxa" w:w="50"/>
              <w:left w:type="dxa" w:w="90"/>
              <w:bottom w:type="dxa" w:w="50"/>
              <w:right w:type="dxa" w:w="90"/>
            </w:tcMar>
            <w:vAlign w:val="center"/>
          </w:tcPr>
          <w:p>
            <w:pPr>
              <w:spacing w:after="0" w:line="240"/>
            </w:pPr>
            <w:r>
              <w:rPr>
                <w:b/>
                <w:bCs/>
                <w:color w:val="FFFFFF"/>
                <w:sz w:val="18"/>
                <w:szCs w:val="18"/>
              </w:rPr>
              <w:t xml:space="preserve">Règle</w:t>
            </w:r>
          </w:p>
        </w:tc>
      </w:tr>
      <w:tr>
        <w:tc>
          <w:tcPr>
            <w:tcW w:type="dxa" w:w="2300"/>
            <w:tcMar>
              <w:top w:type="dxa" w:w="50"/>
              <w:left w:type="dxa" w:w="90"/>
              <w:bottom w:type="dxa" w:w="50"/>
              <w:right w:type="dxa" w:w="90"/>
            </w:tcMar>
            <w:vAlign w:val="center"/>
          </w:tcPr>
          <w:p>
            <w:pPr>
              <w:spacing w:after="0" w:line="240"/>
            </w:pPr>
            <w:r>
              <w:rPr>
                <w:sz w:val="18"/>
                <w:szCs w:val="18"/>
              </w:rPr>
              <w:t xml:space="preserve">Source unique de vérité</w:t>
            </w:r>
          </w:p>
        </w:tc>
        <w:tc>
          <w:tcPr>
            <w:tcW w:type="dxa" w:w="7338"/>
            <w:tcMar>
              <w:top w:type="dxa" w:w="50"/>
              <w:left w:type="dxa" w:w="90"/>
              <w:bottom w:type="dxa" w:w="50"/>
              <w:right w:type="dxa" w:w="90"/>
            </w:tcMar>
            <w:vAlign w:val="center"/>
          </w:tcPr>
          <w:p>
            <w:pPr>
              <w:spacing w:after="0" w:line="240"/>
            </w:pPr>
            <w:r>
              <w:rPr>
                <w:sz w:val="18"/>
                <w:szCs w:val="18"/>
              </w:rPr>
              <w:t xml:space="preserve">Chaque règle métier n’est décrite qu’à un seul endroit du présent document, puis dans un seul fichier de docs/specs/. En cas de conflit détecté, l’agent s’arrête et pose la question ; il n’arbitre jamais silencieusement.</w:t>
            </w:r>
          </w:p>
        </w:tc>
      </w:tr>
      <w:tr>
        <w:tc>
          <w:tcPr>
            <w:tcW w:type="dxa" w:w="2300"/>
            <w:shd w:fill="F7F9FC" w:val="clear"/>
            <w:tcMar>
              <w:top w:type="dxa" w:w="50"/>
              <w:left w:type="dxa" w:w="90"/>
              <w:bottom w:type="dxa" w:w="50"/>
              <w:right w:type="dxa" w:w="90"/>
            </w:tcMar>
            <w:vAlign w:val="center"/>
          </w:tcPr>
          <w:p>
            <w:pPr>
              <w:spacing w:after="0" w:line="240"/>
            </w:pPr>
            <w:r>
              <w:rPr>
                <w:sz w:val="18"/>
                <w:szCs w:val="18"/>
              </w:rPr>
              <w:t xml:space="preserve">Décision par défaut</w:t>
            </w:r>
          </w:p>
        </w:tc>
        <w:tc>
          <w:tcPr>
            <w:tcW w:type="dxa" w:w="7338"/>
            <w:shd w:fill="F7F9FC" w:val="clear"/>
            <w:tcMar>
              <w:top w:type="dxa" w:w="50"/>
              <w:left w:type="dxa" w:w="90"/>
              <w:bottom w:type="dxa" w:w="50"/>
              <w:right w:type="dxa" w:w="90"/>
            </w:tcMar>
            <w:vAlign w:val="center"/>
          </w:tcPr>
          <w:p>
            <w:pPr>
              <w:spacing w:after="0" w:line="240"/>
            </w:pPr>
            <w:r>
              <w:rPr>
                <w:sz w:val="18"/>
                <w:szCs w:val="18"/>
              </w:rPr>
              <w:t xml:space="preserve">Toute décision non tranchée possède une valeur par défaut (§16). L’agent applique le défaut documenté ou pose la question ; il n’invente jamais de valeur.</w:t>
            </w:r>
          </w:p>
        </w:tc>
      </w:tr>
      <w:tr>
        <w:tc>
          <w:tcPr>
            <w:tcW w:type="dxa" w:w="2300"/>
            <w:tcMar>
              <w:top w:type="dxa" w:w="50"/>
              <w:left w:type="dxa" w:w="90"/>
              <w:bottom w:type="dxa" w:w="50"/>
              <w:right w:type="dxa" w:w="90"/>
            </w:tcMar>
            <w:vAlign w:val="center"/>
          </w:tcPr>
          <w:p>
            <w:pPr>
              <w:spacing w:after="0" w:line="240"/>
            </w:pPr>
            <w:r>
              <w:rPr>
                <w:sz w:val="18"/>
                <w:szCs w:val="18"/>
              </w:rPr>
              <w:t xml:space="preserve">Testabilité</w:t>
            </w:r>
          </w:p>
        </w:tc>
        <w:tc>
          <w:tcPr>
            <w:tcW w:type="dxa" w:w="7338"/>
            <w:tcMar>
              <w:top w:type="dxa" w:w="50"/>
              <w:left w:type="dxa" w:w="90"/>
              <w:bottom w:type="dxa" w:w="50"/>
              <w:right w:type="dxa" w:w="90"/>
            </w:tcMar>
            <w:vAlign w:val="center"/>
          </w:tcPr>
          <w:p>
            <w:pPr>
              <w:spacing w:after="0" w:line="240"/>
            </w:pPr>
            <w:r>
              <w:rPr>
                <w:sz w:val="18"/>
                <w:szCs w:val="18"/>
              </w:rPr>
              <w:t xml:space="preserve">Chaque exigence FR-xxx est reliée à au moins un critère REC-xx et à un lot (annexe A). Les tests sont écrits avant le code.</w:t>
            </w:r>
          </w:p>
        </w:tc>
      </w:tr>
      <w:tr>
        <w:tc>
          <w:tcPr>
            <w:tcW w:type="dxa" w:w="2300"/>
            <w:shd w:fill="F7F9FC" w:val="clear"/>
            <w:tcMar>
              <w:top w:type="dxa" w:w="50"/>
              <w:left w:type="dxa" w:w="90"/>
              <w:bottom w:type="dxa" w:w="50"/>
              <w:right w:type="dxa" w:w="90"/>
            </w:tcMar>
            <w:vAlign w:val="center"/>
          </w:tcPr>
          <w:p>
            <w:pPr>
              <w:spacing w:after="0" w:line="240"/>
            </w:pPr>
            <w:r>
              <w:rPr>
                <w:sz w:val="18"/>
                <w:szCs w:val="18"/>
              </w:rPr>
              <w:t xml:space="preserve">Incrémentalité</w:t>
            </w:r>
          </w:p>
        </w:tc>
        <w:tc>
          <w:tcPr>
            <w:tcW w:type="dxa" w:w="7338"/>
            <w:shd w:fill="F7F9FC" w:val="clear"/>
            <w:tcMar>
              <w:top w:type="dxa" w:w="50"/>
              <w:left w:type="dxa" w:w="90"/>
              <w:bottom w:type="dxa" w:w="50"/>
              <w:right w:type="dxa" w:w="90"/>
            </w:tcMar>
            <w:vAlign w:val="center"/>
          </w:tcPr>
          <w:p>
            <w:pPr>
              <w:spacing w:after="0" w:line="240"/>
            </w:pPr>
            <w:r>
              <w:rPr>
                <w:sz w:val="18"/>
                <w:szCs w:val="18"/>
              </w:rPr>
              <w:t xml:space="preserve">Le développement est découpé en lots verticaux (§15) : un lot livre une fonctionnalité utilisable et testée, pas une couche technique isolée.</w:t>
            </w:r>
          </w:p>
        </w:tc>
      </w:tr>
      <w:tr>
        <w:tc>
          <w:tcPr>
            <w:tcW w:type="dxa" w:w="2300"/>
            <w:tcMar>
              <w:top w:type="dxa" w:w="50"/>
              <w:left w:type="dxa" w:w="90"/>
              <w:bottom w:type="dxa" w:w="50"/>
              <w:right w:type="dxa" w:w="90"/>
            </w:tcMar>
            <w:vAlign w:val="center"/>
          </w:tcPr>
          <w:p>
            <w:pPr>
              <w:spacing w:after="0" w:line="240"/>
            </w:pPr>
            <w:r>
              <w:rPr>
                <w:sz w:val="18"/>
                <w:szCs w:val="18"/>
              </w:rPr>
              <w:t xml:space="preserve">Contrats gelés</w:t>
            </w:r>
          </w:p>
        </w:tc>
        <w:tc>
          <w:tcPr>
            <w:tcW w:type="dxa" w:w="7338"/>
            <w:tcMar>
              <w:top w:type="dxa" w:w="50"/>
              <w:left w:type="dxa" w:w="90"/>
              <w:bottom w:type="dxa" w:w="50"/>
              <w:right w:type="dxa" w:w="90"/>
            </w:tcMar>
            <w:vAlign w:val="center"/>
          </w:tcPr>
          <w:p>
            <w:pPr>
              <w:spacing w:after="0" w:line="240"/>
            </w:pPr>
            <w:r>
              <w:rPr>
                <w:sz w:val="18"/>
                <w:szCs w:val="18"/>
              </w:rPr>
              <w:t xml:space="preserve">Schéma de base validé, formules validées et API versionnées ne changent qu’après une décision consignée dans le journal (§2.8).</w:t>
            </w:r>
          </w:p>
        </w:tc>
      </w:tr>
      <w:tr>
        <w:tc>
          <w:tcPr>
            <w:tcW w:type="dxa" w:w="2300"/>
            <w:shd w:fill="F7F9FC" w:val="clear"/>
            <w:tcMar>
              <w:top w:type="dxa" w:w="50"/>
              <w:left w:type="dxa" w:w="90"/>
              <w:bottom w:type="dxa" w:w="50"/>
              <w:right w:type="dxa" w:w="90"/>
            </w:tcMar>
            <w:vAlign w:val="center"/>
          </w:tcPr>
          <w:p>
            <w:pPr>
              <w:spacing w:after="0" w:line="240"/>
            </w:pPr>
            <w:r>
              <w:rPr>
                <w:sz w:val="18"/>
                <w:szCs w:val="18"/>
              </w:rPr>
              <w:t xml:space="preserve">Traçabilité</w:t>
            </w:r>
          </w:p>
        </w:tc>
        <w:tc>
          <w:tcPr>
            <w:tcW w:type="dxa" w:w="7338"/>
            <w:shd w:fill="F7F9FC" w:val="clear"/>
            <w:tcMar>
              <w:top w:type="dxa" w:w="50"/>
              <w:left w:type="dxa" w:w="90"/>
              <w:bottom w:type="dxa" w:w="50"/>
              <w:right w:type="dxa" w:w="90"/>
            </w:tcMar>
            <w:vAlign w:val="center"/>
          </w:tcPr>
          <w:p>
            <w:pPr>
              <w:spacing w:after="0" w:line="240"/>
            </w:pPr>
            <w:r>
              <w:rPr>
                <w:sz w:val="18"/>
                <w:szCs w:val="18"/>
              </w:rPr>
              <w:t xml:space="preserve">Commits, docstrings et fiches de lot référencent les identifiants Lot / FR / REC.</w:t>
            </w:r>
          </w:p>
        </w:tc>
      </w:tr>
    </w:tbl>
    <w:p>
      <w:pPr>
        <w:pStyle w:val="Heading2"/>
        <w:spacing w:after="120" w:before="240"/>
      </w:pPr>
      <w:r>
        <w:t xml:space="preserve">2.2 Organisation du dépôt</w:t>
      </w:r>
    </w:p>
    <w:p>
      <w:pPr>
        <w:keepLines/>
        <w:shd w:fill="F5F5F5" w:val="clear"/>
        <w:spacing w:after="0" w:line="240"/>
        <w:ind w:left="160" w:right="160"/>
      </w:pPr>
      <w:r>
        <w:rPr>
          <w:rFonts w:ascii="Consolas" w:cs="Consolas" w:eastAsia="Consolas" w:hAnsi="Consolas"/>
          <w:sz w:val="17"/>
          <w:szCs w:val="17"/>
        </w:rPr>
        <w:t xml:space="preserve">investment-agent/</w:t>
      </w:r>
    </w:p>
    <w:p>
      <w:pPr>
        <w:keepLines/>
        <w:shd w:fill="F5F5F5" w:val="clear"/>
        <w:spacing w:after="0" w:line="240"/>
        <w:ind w:left="160" w:right="160"/>
      </w:pPr>
      <w:r>
        <w:rPr>
          <w:rFonts w:ascii="Consolas" w:cs="Consolas" w:eastAsia="Consolas" w:hAnsi="Consolas"/>
          <w:sz w:val="17"/>
          <w:szCs w:val="17"/>
        </w:rPr>
        <w:t xml:space="preserve">├── CLAUDE.md                  # instructions permanentes de l’agent (annexe E)</w:t>
      </w:r>
    </w:p>
    <w:p>
      <w:pPr>
        <w:keepLines/>
        <w:shd w:fill="F5F5F5" w:val="clear"/>
        <w:spacing w:after="0" w:line="240"/>
        <w:ind w:left="160" w:right="160"/>
      </w:pPr>
      <w:r>
        <w:rPr>
          <w:rFonts w:ascii="Consolas" w:cs="Consolas" w:eastAsia="Consolas" w:hAnsi="Consolas"/>
          <w:sz w:val="17"/>
          <w:szCs w:val="17"/>
        </w:rPr>
        <w:t xml:space="preserve">├── CHANGELOG.md               # journal des livraisons par lot</w:t>
      </w:r>
    </w:p>
    <w:p>
      <w:pPr>
        <w:keepLines/>
        <w:shd w:fill="F5F5F5" w:val="clear"/>
        <w:spacing w:after="0" w:line="240"/>
        <w:ind w:left="160" w:right="160"/>
      </w:pPr>
      <w:r>
        <w:rPr>
          <w:rFonts w:ascii="Consolas" w:cs="Consolas" w:eastAsia="Consolas" w:hAnsi="Consolas"/>
          <w:sz w:val="17"/>
          <w:szCs w:val="17"/>
        </w:rPr>
        <w:t xml:space="preserve">├── Makefile                   # dev / test / lint / migrate / backup</w:t>
      </w:r>
    </w:p>
    <w:p>
      <w:pPr>
        <w:keepLines/>
        <w:shd w:fill="F5F5F5" w:val="clear"/>
        <w:spacing w:after="0" w:line="240"/>
        <w:ind w:left="160" w:right="160"/>
      </w:pPr>
      <w:r>
        <w:rPr>
          <w:rFonts w:ascii="Consolas" w:cs="Consolas" w:eastAsia="Consolas" w:hAnsi="Consolas"/>
          <w:sz w:val="17"/>
          <w:szCs w:val="17"/>
        </w:rPr>
        <w:t xml:space="preserve">├── docker-compose.yml         # PostgreSQL 16 + backend + frontend</w:t>
      </w:r>
    </w:p>
    <w:p>
      <w:pPr>
        <w:keepLines/>
        <w:shd w:fill="F5F5F5" w:val="clear"/>
        <w:spacing w:after="0" w:line="240"/>
        <w:ind w:left="160" w:right="160"/>
      </w:pPr>
      <w:r>
        <w:rPr>
          <w:rFonts w:ascii="Consolas" w:cs="Consolas" w:eastAsia="Consolas" w:hAnsi="Consolas"/>
          <w:sz w:val="17"/>
          <w:szCs w:val="17"/>
        </w:rPr>
        <w:t xml:space="preserve">├── docs/</w:t>
      </w:r>
    </w:p>
    <w:p>
      <w:pPr>
        <w:keepLines/>
        <w:shd w:fill="F5F5F5" w:val="clear"/>
        <w:spacing w:after="0" w:line="240"/>
        <w:ind w:left="160" w:right="160"/>
      </w:pPr>
      <w:r>
        <w:rPr>
          <w:rFonts w:ascii="Consolas" w:cs="Consolas" w:eastAsia="Consolas" w:hAnsi="Consolas"/>
          <w:sz w:val="17"/>
          <w:szCs w:val="17"/>
        </w:rPr>
        <w:t xml:space="preserve">│   ├── specs/                 # LE cahier des charges éclaté en fichiers (normatif)</w:t>
      </w:r>
    </w:p>
    <w:p>
      <w:pPr>
        <w:keepLines/>
        <w:shd w:fill="F5F5F5" w:val="clear"/>
        <w:spacing w:after="0" w:line="240"/>
        <w:ind w:left="160" w:right="160"/>
      </w:pPr>
      <w:r>
        <w:rPr>
          <w:rFonts w:ascii="Consolas" w:cs="Consolas" w:eastAsia="Consolas" w:hAnsi="Consolas"/>
          <w:sz w:val="17"/>
          <w:szCs w:val="17"/>
        </w:rPr>
        <w:t xml:space="preserve">│   │   ├── 00-principes.md    # §1, §3, §4</w:t>
      </w:r>
    </w:p>
    <w:p>
      <w:pPr>
        <w:keepLines/>
        <w:shd w:fill="F5F5F5" w:val="clear"/>
        <w:spacing w:after="0" w:line="240"/>
        <w:ind w:left="160" w:right="160"/>
      </w:pPr>
      <w:r>
        <w:rPr>
          <w:rFonts w:ascii="Consolas" w:cs="Consolas" w:eastAsia="Consolas" w:hAnsi="Consolas"/>
          <w:sz w:val="17"/>
          <w:szCs w:val="17"/>
        </w:rPr>
        <w:t xml:space="preserve">│   │   ├── 10-modele-donnees.md</w:t>
      </w:r>
    </w:p>
    <w:p>
      <w:pPr>
        <w:keepLines/>
        <w:shd w:fill="F5F5F5" w:val="clear"/>
        <w:spacing w:after="0" w:line="240"/>
        <w:ind w:left="160" w:right="160"/>
      </w:pPr>
      <w:r>
        <w:rPr>
          <w:rFonts w:ascii="Consolas" w:cs="Consolas" w:eastAsia="Consolas" w:hAnsi="Consolas"/>
          <w:sz w:val="17"/>
          <w:szCs w:val="17"/>
        </w:rPr>
        <w:t xml:space="preserve">│   │   ├── 20-imports.md</w:t>
      </w:r>
    </w:p>
    <w:p>
      <w:pPr>
        <w:keepLines/>
        <w:shd w:fill="F5F5F5" w:val="clear"/>
        <w:spacing w:after="0" w:line="240"/>
        <w:ind w:left="160" w:right="160"/>
      </w:pPr>
      <w:r>
        <w:rPr>
          <w:rFonts w:ascii="Consolas" w:cs="Consolas" w:eastAsia="Consolas" w:hAnsi="Consolas"/>
          <w:sz w:val="17"/>
          <w:szCs w:val="17"/>
        </w:rPr>
        <w:t xml:space="preserve">│   │   ├── 30-risque.md       # sizing, grades, heat, gap</w:t>
      </w:r>
    </w:p>
    <w:p>
      <w:pPr>
        <w:keepLines/>
        <w:shd w:fill="F5F5F5" w:val="clear"/>
        <w:spacing w:after="0" w:line="240"/>
        <w:ind w:left="160" w:right="160"/>
      </w:pPr>
      <w:r>
        <w:rPr>
          <w:rFonts w:ascii="Consolas" w:cs="Consolas" w:eastAsia="Consolas" w:hAnsi="Consolas"/>
          <w:sz w:val="17"/>
          <w:szCs w:val="17"/>
        </w:rPr>
        <w:t xml:space="preserve">│   │   ├── 31-scoring-scenarios.md   # scoring, états, gates, no-go</w:t>
      </w:r>
    </w:p>
    <w:p>
      <w:pPr>
        <w:keepLines/>
        <w:shd w:fill="F5F5F5" w:val="clear"/>
        <w:spacing w:after="0" w:line="240"/>
        <w:ind w:left="160" w:right="160"/>
      </w:pPr>
      <w:r>
        <w:rPr>
          <w:rFonts w:ascii="Consolas" w:cs="Consolas" w:eastAsia="Consolas" w:hAnsi="Consolas"/>
          <w:sz w:val="17"/>
          <w:szCs w:val="17"/>
        </w:rPr>
        <w:t xml:space="preserve">│   │   ├── 32-srd.md</w:t>
      </w:r>
    </w:p>
    <w:p>
      <w:pPr>
        <w:keepLines/>
        <w:shd w:fill="F5F5F5" w:val="clear"/>
        <w:spacing w:after="0" w:line="240"/>
        <w:ind w:left="160" w:right="160"/>
      </w:pPr>
      <w:r>
        <w:rPr>
          <w:rFonts w:ascii="Consolas" w:cs="Consolas" w:eastAsia="Consolas" w:hAnsi="Consolas"/>
          <w:sz w:val="17"/>
          <w:szCs w:val="17"/>
        </w:rPr>
        <w:t xml:space="preserve">│   │   ├── 33-pyramiding.md</w:t>
      </w:r>
    </w:p>
    <w:p>
      <w:pPr>
        <w:keepLines/>
        <w:shd w:fill="F5F5F5" w:val="clear"/>
        <w:spacing w:after="0" w:line="240"/>
        <w:ind w:left="160" w:right="160"/>
      </w:pPr>
      <w:r>
        <w:rPr>
          <w:rFonts w:ascii="Consolas" w:cs="Consolas" w:eastAsia="Consolas" w:hAnsi="Consolas"/>
          <w:sz w:val="17"/>
          <w:szCs w:val="17"/>
        </w:rPr>
        <w:t xml:space="preserve">│   │   ├── 34-dca-pea.md      # DCA, poches protégées, fiscalité</w:t>
      </w:r>
    </w:p>
    <w:p>
      <w:pPr>
        <w:keepLines/>
        <w:shd w:fill="F5F5F5" w:val="clear"/>
        <w:spacing w:after="0" w:line="240"/>
        <w:ind w:left="160" w:right="160"/>
      </w:pPr>
      <w:r>
        <w:rPr>
          <w:rFonts w:ascii="Consolas" w:cs="Consolas" w:eastAsia="Consolas" w:hAnsi="Consolas"/>
          <w:sz w:val="17"/>
          <w:szCs w:val="17"/>
        </w:rPr>
        <w:t xml:space="preserve">│   │   ├── 40-kpi.md</w:t>
      </w:r>
    </w:p>
    <w:p>
      <w:pPr>
        <w:keepLines/>
        <w:shd w:fill="F5F5F5" w:val="clear"/>
        <w:spacing w:after="0" w:line="240"/>
        <w:ind w:left="160" w:right="160"/>
      </w:pPr>
      <w:r>
        <w:rPr>
          <w:rFonts w:ascii="Consolas" w:cs="Consolas" w:eastAsia="Consolas" w:hAnsi="Consolas"/>
          <w:sz w:val="17"/>
          <w:szCs w:val="17"/>
        </w:rPr>
        <w:t xml:space="preserve">│   │   ├── 41-amelioration.md</w:t>
      </w:r>
    </w:p>
    <w:p>
      <w:pPr>
        <w:keepLines/>
        <w:shd w:fill="F5F5F5" w:val="clear"/>
        <w:spacing w:after="0" w:line="240"/>
        <w:ind w:left="160" w:right="160"/>
      </w:pPr>
      <w:r>
        <w:rPr>
          <w:rFonts w:ascii="Consolas" w:cs="Consolas" w:eastAsia="Consolas" w:hAnsi="Consolas"/>
          <w:sz w:val="17"/>
          <w:szCs w:val="17"/>
        </w:rPr>
        <w:t xml:space="preserve">│   │   ├── 50-ecrans.md</w:t>
      </w:r>
    </w:p>
    <w:p>
      <w:pPr>
        <w:keepLines/>
        <w:shd w:fill="F5F5F5" w:val="clear"/>
        <w:spacing w:after="0" w:line="240"/>
        <w:ind w:left="160" w:right="160"/>
      </w:pPr>
      <w:r>
        <w:rPr>
          <w:rFonts w:ascii="Consolas" w:cs="Consolas" w:eastAsia="Consolas" w:hAnsi="Consolas"/>
          <w:sz w:val="17"/>
          <w:szCs w:val="17"/>
        </w:rPr>
        <w:t xml:space="preserve">│   │   ├── 60-rapports.md</w:t>
      </w:r>
    </w:p>
    <w:p>
      <w:pPr>
        <w:keepLines/>
        <w:shd w:fill="F5F5F5" w:val="clear"/>
        <w:spacing w:after="0" w:line="240"/>
        <w:ind w:left="160" w:right="160"/>
      </w:pPr>
      <w:r>
        <w:rPr>
          <w:rFonts w:ascii="Consolas" w:cs="Consolas" w:eastAsia="Consolas" w:hAnsi="Consolas"/>
          <w:sz w:val="17"/>
          <w:szCs w:val="17"/>
        </w:rPr>
        <w:t xml:space="preserve">│   │   ├── 70-securite-audit.md</w:t>
      </w:r>
    </w:p>
    <w:p>
      <w:pPr>
        <w:keepLines/>
        <w:shd w:fill="F5F5F5" w:val="clear"/>
        <w:spacing w:after="0" w:line="240"/>
        <w:ind w:left="160" w:right="160"/>
      </w:pPr>
      <w:r>
        <w:rPr>
          <w:rFonts w:ascii="Consolas" w:cs="Consolas" w:eastAsia="Consolas" w:hAnsi="Consolas"/>
          <w:sz w:val="17"/>
          <w:szCs w:val="17"/>
        </w:rPr>
        <w:t xml:space="preserve">│   │   └── 90-decisions.md    # décisions par défaut + journal ADR</w:t>
      </w:r>
    </w:p>
    <w:p>
      <w:pPr>
        <w:keepLines/>
        <w:shd w:fill="F5F5F5" w:val="clear"/>
        <w:spacing w:after="0" w:line="240"/>
        <w:ind w:left="160" w:right="160"/>
      </w:pPr>
      <w:r>
        <w:rPr>
          <w:rFonts w:ascii="Consolas" w:cs="Consolas" w:eastAsia="Consolas" w:hAnsi="Consolas"/>
          <w:sz w:val="17"/>
          <w:szCs w:val="17"/>
        </w:rPr>
        <w:t xml:space="preserve">│   └── lots/                  # une fiche par lot : L00.md, L01.md… (annexe F)</w:t>
      </w:r>
    </w:p>
    <w:p>
      <w:pPr>
        <w:keepLines/>
        <w:shd w:fill="F5F5F5" w:val="clear"/>
        <w:spacing w:after="0" w:line="240"/>
        <w:ind w:left="160" w:right="160"/>
      </w:pPr>
      <w:r>
        <w:rPr>
          <w:rFonts w:ascii="Consolas" w:cs="Consolas" w:eastAsia="Consolas" w:hAnsi="Consolas"/>
          <w:sz w:val="17"/>
          <w:szCs w:val="17"/>
        </w:rPr>
        <w:t xml:space="preserve">├── backend/    (app/, tests/, alembic/)</w:t>
      </w:r>
    </w:p>
    <w:p>
      <w:pPr>
        <w:keepLines/>
        <w:shd w:fill="F5F5F5" w:val="clear"/>
        <w:spacing w:after="0" w:line="240"/>
        <w:ind w:left="160" w:right="160"/>
      </w:pPr>
      <w:r>
        <w:rPr>
          <w:rFonts w:ascii="Consolas" w:cs="Consolas" w:eastAsia="Consolas" w:hAnsi="Consolas"/>
          <w:sz w:val="17"/>
          <w:szCs w:val="17"/>
        </w:rPr>
        <w:t xml:space="preserve">├── frontend/   (src/, tests/)</w:t>
      </w:r>
    </w:p>
    <w:p>
      <w:pPr>
        <w:keepLines/>
        <w:shd w:fill="F5F5F5" w:val="clear"/>
        <w:spacing w:after="0" w:line="240"/>
        <w:ind w:left="160" w:right="160"/>
      </w:pPr>
      <w:r>
        <w:rPr>
          <w:rFonts w:ascii="Consolas" w:cs="Consolas" w:eastAsia="Consolas" w:hAnsi="Consolas"/>
          <w:sz w:val="17"/>
          <w:szCs w:val="17"/>
        </w:rPr>
        <w:t xml:space="preserve">├── fixtures/                  # fichiers d’exemple ANONYMISÉS + résultats attendus</w:t>
      </w:r>
    </w:p>
    <w:p>
      <w:pPr>
        <w:keepLines/>
        <w:shd w:fill="F5F5F5" w:val="clear"/>
        <w:spacing w:after="0" w:line="240"/>
        <w:ind w:left="160" w:right="160"/>
      </w:pPr>
      <w:r>
        <w:rPr>
          <w:rFonts w:ascii="Consolas" w:cs="Consolas" w:eastAsia="Consolas" w:hAnsi="Consolas"/>
          <w:sz w:val="17"/>
          <w:szCs w:val="17"/>
        </w:rPr>
        <w:t xml:space="preserve">│   └── expected/              # sorties JSON attendues (tests golden)</w:t>
      </w:r>
    </w:p>
    <w:p>
      <w:pPr>
        <w:keepLines/>
        <w:shd w:fill="F5F5F5" w:val="clear"/>
        <w:spacing w:after="120" w:line="240"/>
        <w:ind w:left="160" w:right="160"/>
      </w:pPr>
      <w:r>
        <w:rPr>
          <w:rFonts w:ascii="Consolas" w:cs="Consolas" w:eastAsia="Consolas" w:hAnsi="Consolas"/>
          <w:sz w:val="17"/>
          <w:szCs w:val="17"/>
        </w:rPr>
        <w:t xml:space="preserve">└── data/       (raw/, reports/, exports/, backups/)   # hors dépôt git</w:t>
      </w:r>
    </w:p>
    <w:p>
      <w:pPr>
        <w:pStyle w:val="Heading2"/>
        <w:spacing w:after="120" w:before="240"/>
      </w:pPr>
      <w:r>
        <w:t xml:space="preserve">2.3 Fichier CLAUDE.md</w:t>
      </w:r>
    </w:p>
    <w:p>
      <w:pPr>
        <w:spacing w:after="100" w:before="0" w:line="264"/>
      </w:pPr>
      <w:r>
        <w:t xml:space="preserve">Le fichier CLAUDE.md à la racine est chargé automatiquement par Claude Code au début de chaque session. Il contient : le contexte du projet, les commandes (make), les règles absolues (§2.6), les conventions techniques (§10) et la Definition of Done. Le modèle complet figure en annexe E ; il est créé au lot L00 et maintenu à jour à chaque changement de convention.</w:t>
      </w:r>
    </w:p>
    <w:p>
      <w:pPr>
        <w:pStyle w:val="Heading2"/>
        <w:spacing w:after="120" w:before="240"/>
      </w:pPr>
      <w:r>
        <w:t xml:space="preserve">2.4 Éclatement du cahier des charges en fichiers de spécification</w:t>
      </w:r>
    </w:p>
    <w:p>
      <w:pPr>
        <w:spacing w:after="100" w:before="0" w:line="264"/>
      </w:pPr>
      <w:r>
        <w:t xml:space="preserve">Le présent document (.docx) est la référence contractuelle, mais l’agent travaille sur sa déclinaison en Markdown dans docs/specs/. La conversion fait partie du lot L00 et peut être confiée à Claude (dépôt du .docx, extraction section par section, relecture humaine). Après le lot L00, toute évolution se fait d’abord dans docs/specs/ puis est reportée dans le .docx lors des jalons.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438"/>
      </w:tblGrid>
      <w:tr>
        <w:trPr>
          <w:tblHeader/>
        </w:trPr>
        <w:tc>
          <w:tcPr>
            <w:tcW w:type="dxa" w:w="3200"/>
            <w:shd w:fill="1F3864" w:val="clear"/>
            <w:tcMar>
              <w:top w:type="dxa" w:w="50"/>
              <w:left w:type="dxa" w:w="90"/>
              <w:bottom w:type="dxa" w:w="50"/>
              <w:right w:type="dxa" w:w="90"/>
            </w:tcMar>
            <w:vAlign w:val="center"/>
          </w:tcPr>
          <w:p>
            <w:pPr>
              <w:spacing w:after="0" w:line="240"/>
            </w:pPr>
            <w:r>
              <w:rPr>
                <w:b/>
                <w:bCs/>
                <w:color w:val="FFFFFF"/>
                <w:sz w:val="18"/>
                <w:szCs w:val="18"/>
              </w:rPr>
              <w:t xml:space="preserve">Fichier docs/specs/</w:t>
            </w:r>
          </w:p>
        </w:tc>
        <w:tc>
          <w:tcPr>
            <w:tcW w:type="dxa" w:w="6438"/>
            <w:shd w:fill="1F3864" w:val="clear"/>
            <w:tcMar>
              <w:top w:type="dxa" w:w="50"/>
              <w:left w:type="dxa" w:w="90"/>
              <w:bottom w:type="dxa" w:w="50"/>
              <w:right w:type="dxa" w:w="90"/>
            </w:tcMar>
            <w:vAlign w:val="center"/>
          </w:tcPr>
          <w:p>
            <w:pPr>
              <w:spacing w:after="0" w:line="240"/>
            </w:pPr>
            <w:r>
              <w:rPr>
                <w:b/>
                <w:bCs/>
                <w:color w:val="FFFFFF"/>
                <w:sz w:val="18"/>
                <w:szCs w:val="18"/>
              </w:rPr>
              <w:t xml:space="preserve">Sections sources du présent document</w:t>
            </w:r>
          </w:p>
        </w:tc>
      </w:tr>
      <w:tr>
        <w:tc>
          <w:tcPr>
            <w:tcW w:type="dxa" w:w="3200"/>
            <w:tcMar>
              <w:top w:type="dxa" w:w="50"/>
              <w:left w:type="dxa" w:w="90"/>
              <w:bottom w:type="dxa" w:w="50"/>
              <w:right w:type="dxa" w:w="90"/>
            </w:tcMar>
            <w:vAlign w:val="center"/>
          </w:tcPr>
          <w:p>
            <w:pPr>
              <w:spacing w:after="0" w:line="240"/>
            </w:pPr>
            <w:r>
              <w:rPr>
                <w:sz w:val="18"/>
                <w:szCs w:val="18"/>
              </w:rPr>
              <w:t xml:space="preserve">00-principes.md</w:t>
            </w:r>
          </w:p>
        </w:tc>
        <w:tc>
          <w:tcPr>
            <w:tcW w:type="dxa" w:w="6438"/>
            <w:tcMar>
              <w:top w:type="dxa" w:w="50"/>
              <w:left w:type="dxa" w:w="90"/>
              <w:bottom w:type="dxa" w:w="50"/>
              <w:right w:type="dxa" w:w="90"/>
            </w:tcMar>
            <w:vAlign w:val="center"/>
          </w:tcPr>
          <w:p>
            <w:pPr>
              <w:spacing w:after="0" w:line="240"/>
            </w:pPr>
            <w:r>
              <w:rPr>
                <w:sz w:val="18"/>
                <w:szCs w:val="18"/>
              </w:rPr>
              <w:t xml:space="preserve">§1 Résumé, §3 Contexte et principes, §4 Périmètre</w:t>
            </w:r>
          </w:p>
        </w:tc>
      </w:tr>
      <w:tr>
        <w:tc>
          <w:tcPr>
            <w:tcW w:type="dxa" w:w="3200"/>
            <w:shd w:fill="F7F9FC" w:val="clear"/>
            <w:tcMar>
              <w:top w:type="dxa" w:w="50"/>
              <w:left w:type="dxa" w:w="90"/>
              <w:bottom w:type="dxa" w:w="50"/>
              <w:right w:type="dxa" w:w="90"/>
            </w:tcMar>
            <w:vAlign w:val="center"/>
          </w:tcPr>
          <w:p>
            <w:pPr>
              <w:spacing w:after="0" w:line="240"/>
            </w:pPr>
            <w:r>
              <w:rPr>
                <w:sz w:val="18"/>
                <w:szCs w:val="18"/>
              </w:rPr>
              <w:t xml:space="preserve">10-modele-donnees.md</w:t>
            </w:r>
          </w:p>
        </w:tc>
        <w:tc>
          <w:tcPr>
            <w:tcW w:type="dxa" w:w="6438"/>
            <w:shd w:fill="F7F9FC" w:val="clear"/>
            <w:tcMar>
              <w:top w:type="dxa" w:w="50"/>
              <w:left w:type="dxa" w:w="90"/>
              <w:bottom w:type="dxa" w:w="50"/>
              <w:right w:type="dxa" w:w="90"/>
            </w:tcMar>
            <w:vAlign w:val="center"/>
          </w:tcPr>
          <w:p>
            <w:pPr>
              <w:spacing w:after="0" w:line="240"/>
            </w:pPr>
            <w:r>
              <w:rPr>
                <w:sz w:val="18"/>
                <w:szCs w:val="18"/>
              </w:rPr>
              <w:t xml:space="preserve">§8 Modèle de données + conventions base (§10.3)</w:t>
            </w:r>
          </w:p>
        </w:tc>
      </w:tr>
      <w:tr>
        <w:tc>
          <w:tcPr>
            <w:tcW w:type="dxa" w:w="3200"/>
            <w:tcMar>
              <w:top w:type="dxa" w:w="50"/>
              <w:left w:type="dxa" w:w="90"/>
              <w:bottom w:type="dxa" w:w="50"/>
              <w:right w:type="dxa" w:w="90"/>
            </w:tcMar>
            <w:vAlign w:val="center"/>
          </w:tcPr>
          <w:p>
            <w:pPr>
              <w:spacing w:after="0" w:line="240"/>
            </w:pPr>
            <w:r>
              <w:rPr>
                <w:sz w:val="18"/>
                <w:szCs w:val="18"/>
              </w:rPr>
              <w:t xml:space="preserve">20-imports.md</w:t>
            </w:r>
          </w:p>
        </w:tc>
        <w:tc>
          <w:tcPr>
            <w:tcW w:type="dxa" w:w="6438"/>
            <w:tcMar>
              <w:top w:type="dxa" w:w="50"/>
              <w:left w:type="dxa" w:w="90"/>
              <w:bottom w:type="dxa" w:w="50"/>
              <w:right w:type="dxa" w:w="90"/>
            </w:tcMar>
            <w:vAlign w:val="center"/>
          </w:tcPr>
          <w:p>
            <w:pPr>
              <w:spacing w:after="0" w:line="240"/>
            </w:pPr>
            <w:r>
              <w:rPr>
                <w:sz w:val="18"/>
                <w:szCs w:val="18"/>
              </w:rPr>
              <w:t xml:space="preserve">§6.2 Imports, §13 Reprise, annexe D Mapping</w:t>
            </w:r>
          </w:p>
        </w:tc>
      </w:tr>
      <w:tr>
        <w:tc>
          <w:tcPr>
            <w:tcW w:type="dxa" w:w="3200"/>
            <w:shd w:fill="F7F9FC" w:val="clear"/>
            <w:tcMar>
              <w:top w:type="dxa" w:w="50"/>
              <w:left w:type="dxa" w:w="90"/>
              <w:bottom w:type="dxa" w:w="50"/>
              <w:right w:type="dxa" w:w="90"/>
            </w:tcMar>
            <w:vAlign w:val="center"/>
          </w:tcPr>
          <w:p>
            <w:pPr>
              <w:spacing w:after="0" w:line="240"/>
            </w:pPr>
            <w:r>
              <w:rPr>
                <w:sz w:val="18"/>
                <w:szCs w:val="18"/>
              </w:rPr>
              <w:t xml:space="preserve">21-marches.md</w:t>
            </w:r>
          </w:p>
        </w:tc>
        <w:tc>
          <w:tcPr>
            <w:tcW w:type="dxa" w:w="6438"/>
            <w:shd w:fill="F7F9FC" w:val="clear"/>
            <w:tcMar>
              <w:top w:type="dxa" w:w="50"/>
              <w:left w:type="dxa" w:w="90"/>
              <w:bottom w:type="dxa" w:w="50"/>
              <w:right w:type="dxa" w:w="90"/>
            </w:tcMar>
            <w:vAlign w:val="center"/>
          </w:tcPr>
          <w:p>
            <w:pPr>
              <w:spacing w:after="0" w:line="240"/>
            </w:pPr>
            <w:r>
              <w:rPr>
                <w:sz w:val="18"/>
                <w:szCs w:val="18"/>
              </w:rPr>
              <w:t xml:space="preserve">§6.3 Référentiel et places, §6.19 Marchés et devises, §7.8–7.9 Change et sessions</w:t>
            </w:r>
          </w:p>
        </w:tc>
      </w:tr>
      <w:tr>
        <w:tc>
          <w:tcPr>
            <w:tcW w:type="dxa" w:w="3200"/>
            <w:tcMar>
              <w:top w:type="dxa" w:w="50"/>
              <w:left w:type="dxa" w:w="90"/>
              <w:bottom w:type="dxa" w:w="50"/>
              <w:right w:type="dxa" w:w="90"/>
            </w:tcMar>
            <w:vAlign w:val="center"/>
          </w:tcPr>
          <w:p>
            <w:pPr>
              <w:spacing w:after="0" w:line="240"/>
            </w:pPr>
            <w:r>
              <w:rPr>
                <w:sz w:val="18"/>
                <w:szCs w:val="18"/>
              </w:rPr>
              <w:t xml:space="preserve">30-risque.md</w:t>
            </w:r>
          </w:p>
        </w:tc>
        <w:tc>
          <w:tcPr>
            <w:tcW w:type="dxa" w:w="6438"/>
            <w:tcMar>
              <w:top w:type="dxa" w:w="50"/>
              <w:left w:type="dxa" w:w="90"/>
              <w:bottom w:type="dxa" w:w="50"/>
              <w:right w:type="dxa" w:w="90"/>
            </w:tcMar>
            <w:vAlign w:val="center"/>
          </w:tcPr>
          <w:p>
            <w:pPr>
              <w:spacing w:after="0" w:line="240"/>
            </w:pPr>
            <w:r>
              <w:rPr>
                <w:sz w:val="18"/>
                <w:szCs w:val="18"/>
              </w:rPr>
              <w:t xml:space="preserve">§6.7 Risque/heat, §7.2–7.4 Formules</w:t>
            </w:r>
          </w:p>
        </w:tc>
      </w:tr>
      <w:tr>
        <w:tc>
          <w:tcPr>
            <w:tcW w:type="dxa" w:w="3200"/>
            <w:shd w:fill="F7F9FC" w:val="clear"/>
            <w:tcMar>
              <w:top w:type="dxa" w:w="50"/>
              <w:left w:type="dxa" w:w="90"/>
              <w:bottom w:type="dxa" w:w="50"/>
              <w:right w:type="dxa" w:w="90"/>
            </w:tcMar>
            <w:vAlign w:val="center"/>
          </w:tcPr>
          <w:p>
            <w:pPr>
              <w:spacing w:after="0" w:line="240"/>
            </w:pPr>
            <w:r>
              <w:rPr>
                <w:sz w:val="18"/>
                <w:szCs w:val="18"/>
              </w:rPr>
              <w:t xml:space="preserve">31-scoring-scenarios.md</w:t>
            </w:r>
          </w:p>
        </w:tc>
        <w:tc>
          <w:tcPr>
            <w:tcW w:type="dxa" w:w="6438"/>
            <w:shd w:fill="F7F9FC" w:val="clear"/>
            <w:tcMar>
              <w:top w:type="dxa" w:w="50"/>
              <w:left w:type="dxa" w:w="90"/>
              <w:bottom w:type="dxa" w:w="50"/>
              <w:right w:type="dxa" w:w="90"/>
            </w:tcMar>
            <w:vAlign w:val="center"/>
          </w:tcPr>
          <w:p>
            <w:pPr>
              <w:spacing w:after="0" w:line="240"/>
            </w:pPr>
            <w:r>
              <w:rPr>
                <w:sz w:val="18"/>
                <w:szCs w:val="18"/>
              </w:rPr>
              <w:t xml:space="preserve">§6.5 Scénarios/états, §6.8 Gates/no-go, §7.1 Scoring</w:t>
            </w:r>
          </w:p>
        </w:tc>
      </w:tr>
      <w:tr>
        <w:tc>
          <w:tcPr>
            <w:tcW w:type="dxa" w:w="3200"/>
            <w:tcMar>
              <w:top w:type="dxa" w:w="50"/>
              <w:left w:type="dxa" w:w="90"/>
              <w:bottom w:type="dxa" w:w="50"/>
              <w:right w:type="dxa" w:w="90"/>
            </w:tcMar>
            <w:vAlign w:val="center"/>
          </w:tcPr>
          <w:p>
            <w:pPr>
              <w:spacing w:after="0" w:line="240"/>
            </w:pPr>
            <w:r>
              <w:rPr>
                <w:sz w:val="18"/>
                <w:szCs w:val="18"/>
              </w:rPr>
              <w:t xml:space="preserve">32-srd.md</w:t>
            </w:r>
          </w:p>
        </w:tc>
        <w:tc>
          <w:tcPr>
            <w:tcW w:type="dxa" w:w="6438"/>
            <w:tcMar>
              <w:top w:type="dxa" w:w="50"/>
              <w:left w:type="dxa" w:w="90"/>
              <w:bottom w:type="dxa" w:w="50"/>
              <w:right w:type="dxa" w:w="90"/>
            </w:tcMar>
            <w:vAlign w:val="center"/>
          </w:tcPr>
          <w:p>
            <w:pPr>
              <w:spacing w:after="0" w:line="240"/>
            </w:pPr>
            <w:r>
              <w:rPr>
                <w:sz w:val="18"/>
                <w:szCs w:val="18"/>
              </w:rPr>
              <w:t xml:space="preserve">§6.9 SRD</w:t>
            </w:r>
          </w:p>
        </w:tc>
      </w:tr>
      <w:tr>
        <w:tc>
          <w:tcPr>
            <w:tcW w:type="dxa" w:w="3200"/>
            <w:shd w:fill="F7F9FC" w:val="clear"/>
            <w:tcMar>
              <w:top w:type="dxa" w:w="50"/>
              <w:left w:type="dxa" w:w="90"/>
              <w:bottom w:type="dxa" w:w="50"/>
              <w:right w:type="dxa" w:w="90"/>
            </w:tcMar>
            <w:vAlign w:val="center"/>
          </w:tcPr>
          <w:p>
            <w:pPr>
              <w:spacing w:after="0" w:line="240"/>
            </w:pPr>
            <w:r>
              <w:rPr>
                <w:sz w:val="18"/>
                <w:szCs w:val="18"/>
              </w:rPr>
              <w:t xml:space="preserve">33-pyramiding.md</w:t>
            </w:r>
          </w:p>
        </w:tc>
        <w:tc>
          <w:tcPr>
            <w:tcW w:type="dxa" w:w="6438"/>
            <w:shd w:fill="F7F9FC" w:val="clear"/>
            <w:tcMar>
              <w:top w:type="dxa" w:w="50"/>
              <w:left w:type="dxa" w:w="90"/>
              <w:bottom w:type="dxa" w:w="50"/>
              <w:right w:type="dxa" w:w="90"/>
            </w:tcMar>
            <w:vAlign w:val="center"/>
          </w:tcPr>
          <w:p>
            <w:pPr>
              <w:spacing w:after="0" w:line="240"/>
            </w:pPr>
            <w:r>
              <w:rPr>
                <w:sz w:val="18"/>
                <w:szCs w:val="18"/>
              </w:rPr>
              <w:t xml:space="preserve">§6.10 Pyramiding</w:t>
            </w:r>
          </w:p>
        </w:tc>
      </w:tr>
      <w:tr>
        <w:tc>
          <w:tcPr>
            <w:tcW w:type="dxa" w:w="3200"/>
            <w:tcMar>
              <w:top w:type="dxa" w:w="50"/>
              <w:left w:type="dxa" w:w="90"/>
              <w:bottom w:type="dxa" w:w="50"/>
              <w:right w:type="dxa" w:w="90"/>
            </w:tcMar>
            <w:vAlign w:val="center"/>
          </w:tcPr>
          <w:p>
            <w:pPr>
              <w:spacing w:after="0" w:line="240"/>
            </w:pPr>
            <w:r>
              <w:rPr>
                <w:sz w:val="18"/>
                <w:szCs w:val="18"/>
              </w:rPr>
              <w:t xml:space="preserve">34-dca-pea.md</w:t>
            </w:r>
          </w:p>
        </w:tc>
        <w:tc>
          <w:tcPr>
            <w:tcW w:type="dxa" w:w="6438"/>
            <w:tcMar>
              <w:top w:type="dxa" w:w="50"/>
              <w:left w:type="dxa" w:w="90"/>
              <w:bottom w:type="dxa" w:w="50"/>
              <w:right w:type="dxa" w:w="90"/>
            </w:tcMar>
            <w:vAlign w:val="center"/>
          </w:tcPr>
          <w:p>
            <w:pPr>
              <w:spacing w:after="0" w:line="240"/>
            </w:pPr>
            <w:r>
              <w:rPr>
                <w:sz w:val="18"/>
                <w:szCs w:val="18"/>
              </w:rPr>
              <w:t xml:space="preserve">§6.11 DCA/ETF/poches, §6.12 Fiscalité, §7.7</w:t>
            </w:r>
          </w:p>
        </w:tc>
      </w:tr>
      <w:tr>
        <w:tc>
          <w:tcPr>
            <w:tcW w:type="dxa" w:w="3200"/>
            <w:shd w:fill="F7F9FC" w:val="clear"/>
            <w:tcMar>
              <w:top w:type="dxa" w:w="50"/>
              <w:left w:type="dxa" w:w="90"/>
              <w:bottom w:type="dxa" w:w="50"/>
              <w:right w:type="dxa" w:w="90"/>
            </w:tcMar>
            <w:vAlign w:val="center"/>
          </w:tcPr>
          <w:p>
            <w:pPr>
              <w:spacing w:after="0" w:line="240"/>
            </w:pPr>
            <w:r>
              <w:rPr>
                <w:sz w:val="18"/>
                <w:szCs w:val="18"/>
              </w:rPr>
              <w:t xml:space="preserve">40-kpi.md</w:t>
            </w:r>
          </w:p>
        </w:tc>
        <w:tc>
          <w:tcPr>
            <w:tcW w:type="dxa" w:w="6438"/>
            <w:shd w:fill="F7F9FC" w:val="clear"/>
            <w:tcMar>
              <w:top w:type="dxa" w:w="50"/>
              <w:left w:type="dxa" w:w="90"/>
              <w:bottom w:type="dxa" w:w="50"/>
              <w:right w:type="dxa" w:w="90"/>
            </w:tcMar>
            <w:vAlign w:val="center"/>
          </w:tcPr>
          <w:p>
            <w:pPr>
              <w:spacing w:after="0" w:line="240"/>
            </w:pPr>
            <w:r>
              <w:rPr>
                <w:sz w:val="18"/>
                <w:szCs w:val="18"/>
              </w:rPr>
              <w:t xml:space="preserve">§6.14 KPI, §7.5–7.6, annexe B</w:t>
            </w:r>
          </w:p>
        </w:tc>
      </w:tr>
      <w:tr>
        <w:tc>
          <w:tcPr>
            <w:tcW w:type="dxa" w:w="3200"/>
            <w:tcMar>
              <w:top w:type="dxa" w:w="50"/>
              <w:left w:type="dxa" w:w="90"/>
              <w:bottom w:type="dxa" w:w="50"/>
              <w:right w:type="dxa" w:w="90"/>
            </w:tcMar>
            <w:vAlign w:val="center"/>
          </w:tcPr>
          <w:p>
            <w:pPr>
              <w:spacing w:after="0" w:line="240"/>
            </w:pPr>
            <w:r>
              <w:rPr>
                <w:sz w:val="18"/>
                <w:szCs w:val="18"/>
              </w:rPr>
              <w:t xml:space="preserve">41-amelioration.md</w:t>
            </w:r>
          </w:p>
        </w:tc>
        <w:tc>
          <w:tcPr>
            <w:tcW w:type="dxa" w:w="6438"/>
            <w:tcMar>
              <w:top w:type="dxa" w:w="50"/>
              <w:left w:type="dxa" w:w="90"/>
              <w:bottom w:type="dxa" w:w="50"/>
              <w:right w:type="dxa" w:w="90"/>
            </w:tcMar>
            <w:vAlign w:val="center"/>
          </w:tcPr>
          <w:p>
            <w:pPr>
              <w:spacing w:after="0" w:line="240"/>
            </w:pPr>
            <w:r>
              <w:rPr>
                <w:sz w:val="18"/>
                <w:szCs w:val="18"/>
              </w:rPr>
              <w:t xml:space="preserve">§6.15 Boucle d’amélioration</w:t>
            </w:r>
          </w:p>
        </w:tc>
      </w:tr>
      <w:tr>
        <w:tc>
          <w:tcPr>
            <w:tcW w:type="dxa" w:w="3200"/>
            <w:shd w:fill="F7F9FC" w:val="clear"/>
            <w:tcMar>
              <w:top w:type="dxa" w:w="50"/>
              <w:left w:type="dxa" w:w="90"/>
              <w:bottom w:type="dxa" w:w="50"/>
              <w:right w:type="dxa" w:w="90"/>
            </w:tcMar>
            <w:vAlign w:val="center"/>
          </w:tcPr>
          <w:p>
            <w:pPr>
              <w:spacing w:after="0" w:line="240"/>
            </w:pPr>
            <w:r>
              <w:rPr>
                <w:sz w:val="18"/>
                <w:szCs w:val="18"/>
              </w:rPr>
              <w:t xml:space="preserve">50-ecrans.md</w:t>
            </w:r>
          </w:p>
        </w:tc>
        <w:tc>
          <w:tcPr>
            <w:tcW w:type="dxa" w:w="6438"/>
            <w:shd w:fill="F7F9FC" w:val="clear"/>
            <w:tcMar>
              <w:top w:type="dxa" w:w="50"/>
              <w:left w:type="dxa" w:w="90"/>
              <w:bottom w:type="dxa" w:w="50"/>
              <w:right w:type="dxa" w:w="90"/>
            </w:tcMar>
            <w:vAlign w:val="center"/>
          </w:tcPr>
          <w:p>
            <w:pPr>
              <w:spacing w:after="0" w:line="240"/>
            </w:pPr>
            <w:r>
              <w:rPr>
                <w:sz w:val="18"/>
                <w:szCs w:val="18"/>
              </w:rPr>
              <w:t xml:space="preserve">§9 Interface</w:t>
            </w:r>
          </w:p>
        </w:tc>
      </w:tr>
      <w:tr>
        <w:tc>
          <w:tcPr>
            <w:tcW w:type="dxa" w:w="3200"/>
            <w:tcMar>
              <w:top w:type="dxa" w:w="50"/>
              <w:left w:type="dxa" w:w="90"/>
              <w:bottom w:type="dxa" w:w="50"/>
              <w:right w:type="dxa" w:w="90"/>
            </w:tcMar>
            <w:vAlign w:val="center"/>
          </w:tcPr>
          <w:p>
            <w:pPr>
              <w:spacing w:after="0" w:line="240"/>
            </w:pPr>
            <w:r>
              <w:rPr>
                <w:sz w:val="18"/>
                <w:szCs w:val="18"/>
              </w:rPr>
              <w:t xml:space="preserve">60-rapports.md</w:t>
            </w:r>
          </w:p>
        </w:tc>
        <w:tc>
          <w:tcPr>
            <w:tcW w:type="dxa" w:w="6438"/>
            <w:tcMar>
              <w:top w:type="dxa" w:w="50"/>
              <w:left w:type="dxa" w:w="90"/>
              <w:bottom w:type="dxa" w:w="50"/>
              <w:right w:type="dxa" w:w="90"/>
            </w:tcMar>
            <w:vAlign w:val="center"/>
          </w:tcPr>
          <w:p>
            <w:pPr>
              <w:spacing w:after="0" w:line="240"/>
            </w:pPr>
            <w:r>
              <w:rPr>
                <w:sz w:val="18"/>
                <w:szCs w:val="18"/>
              </w:rPr>
              <w:t xml:space="preserve">§6.16 Rapports et rituels</w:t>
            </w:r>
          </w:p>
        </w:tc>
      </w:tr>
      <w:tr>
        <w:tc>
          <w:tcPr>
            <w:tcW w:type="dxa" w:w="3200"/>
            <w:shd w:fill="F7F9FC" w:val="clear"/>
            <w:tcMar>
              <w:top w:type="dxa" w:w="50"/>
              <w:left w:type="dxa" w:w="90"/>
              <w:bottom w:type="dxa" w:w="50"/>
              <w:right w:type="dxa" w:w="90"/>
            </w:tcMar>
            <w:vAlign w:val="center"/>
          </w:tcPr>
          <w:p>
            <w:pPr>
              <w:spacing w:after="0" w:line="240"/>
            </w:pPr>
            <w:r>
              <w:rPr>
                <w:sz w:val="18"/>
                <w:szCs w:val="18"/>
              </w:rPr>
              <w:t xml:space="preserve">70-securite-audit.md</w:t>
            </w:r>
          </w:p>
        </w:tc>
        <w:tc>
          <w:tcPr>
            <w:tcW w:type="dxa" w:w="6438"/>
            <w:shd w:fill="F7F9FC" w:val="clear"/>
            <w:tcMar>
              <w:top w:type="dxa" w:w="50"/>
              <w:left w:type="dxa" w:w="90"/>
              <w:bottom w:type="dxa" w:w="50"/>
              <w:right w:type="dxa" w:w="90"/>
            </w:tcMar>
            <w:vAlign w:val="center"/>
          </w:tcPr>
          <w:p>
            <w:pPr>
              <w:spacing w:after="0" w:line="240"/>
            </w:pPr>
            <w:r>
              <w:rPr>
                <w:sz w:val="18"/>
                <w:szCs w:val="18"/>
              </w:rPr>
              <w:t xml:space="preserve">§11 Sécurité et audit</w:t>
            </w:r>
          </w:p>
        </w:tc>
      </w:tr>
      <w:tr>
        <w:tc>
          <w:tcPr>
            <w:tcW w:type="dxa" w:w="3200"/>
            <w:tcMar>
              <w:top w:type="dxa" w:w="50"/>
              <w:left w:type="dxa" w:w="90"/>
              <w:bottom w:type="dxa" w:w="50"/>
              <w:right w:type="dxa" w:w="90"/>
            </w:tcMar>
            <w:vAlign w:val="center"/>
          </w:tcPr>
          <w:p>
            <w:pPr>
              <w:spacing w:after="0" w:line="240"/>
            </w:pPr>
            <w:r>
              <w:rPr>
                <w:sz w:val="18"/>
                <w:szCs w:val="18"/>
              </w:rPr>
              <w:t xml:space="preserve">90-decisions.md</w:t>
            </w:r>
          </w:p>
        </w:tc>
        <w:tc>
          <w:tcPr>
            <w:tcW w:type="dxa" w:w="6438"/>
            <w:tcMar>
              <w:top w:type="dxa" w:w="50"/>
              <w:left w:type="dxa" w:w="90"/>
              <w:bottom w:type="dxa" w:w="50"/>
              <w:right w:type="dxa" w:w="90"/>
            </w:tcMar>
            <w:vAlign w:val="center"/>
          </w:tcPr>
          <w:p>
            <w:pPr>
              <w:spacing w:after="0" w:line="240"/>
            </w:pPr>
            <w:r>
              <w:rPr>
                <w:sz w:val="18"/>
                <w:szCs w:val="18"/>
              </w:rPr>
              <w:t xml:space="preserve">§16 Décisions par défaut + journal des décisions</w:t>
            </w:r>
          </w:p>
        </w:tc>
      </w:tr>
    </w:tbl>
    <w:p>
      <w:pPr>
        <w:pStyle w:val="Heading2"/>
        <w:spacing w:after="120" w:before="240"/>
      </w:pPr>
      <w:r>
        <w:t xml:space="preserve">2.5 Déroulement d’une session de développement</w:t>
      </w:r>
    </w:p>
    <w:p>
      <w:pPr>
        <w:spacing w:after="60" w:line="264"/>
        <w:ind w:left="240"/>
      </w:pPr>
      <w:r>
        <w:rPr>
          <w:b/>
          <w:bCs/>
        </w:rPr>
        <w:t xml:space="preserve">1. </w:t>
      </w:r>
      <w:r>
        <w:t xml:space="preserve">Ouvrir Claude Code à la racine du dépôt (CLAUDE.md est chargé automatiquement).</w:t>
      </w:r>
    </w:p>
    <w:p>
      <w:pPr>
        <w:spacing w:after="60" w:line="264"/>
        <w:ind w:left="240"/>
      </w:pPr>
      <w:r>
        <w:rPr>
          <w:b/>
          <w:bCs/>
        </w:rPr>
        <w:t xml:space="preserve">2. </w:t>
      </w:r>
      <w:r>
        <w:t xml:space="preserve">Prompt d’ouverture type : </w:t>
      </w:r>
      <w:r>
        <w:rPr>
          <w:i/>
          <w:iCs/>
        </w:rPr>
        <w:t xml:space="preserve">« Implémente le lot L03 décrit dans docs/lots/L03.md. Lis d’abord docs/specs/20-imports.md et docs/specs/10-modele-donnees.md. Propose un plan avant de coder. Écris les tests en premier. »</w:t>
      </w:r>
    </w:p>
    <w:p>
      <w:pPr>
        <w:spacing w:after="60" w:line="264"/>
        <w:ind w:left="240"/>
      </w:pPr>
      <w:r>
        <w:rPr>
          <w:b/>
          <w:bCs/>
        </w:rPr>
        <w:t xml:space="preserve">3. </w:t>
      </w:r>
      <w:r>
        <w:t xml:space="preserve">Valider ou corriger le plan proposé avant toute écriture de code.</w:t>
      </w:r>
    </w:p>
    <w:p>
      <w:pPr>
        <w:spacing w:after="60" w:line="264"/>
        <w:ind w:left="240"/>
      </w:pPr>
      <w:r>
        <w:rPr>
          <w:b/>
          <w:bCs/>
        </w:rPr>
        <w:t xml:space="preserve">4. </w:t>
      </w:r>
      <w:r>
        <w:t xml:space="preserve">Laisser l’agent écrire les tests, puis l’implémentation, puis exécuter make test et make lint jusqu’au vert.</w:t>
      </w:r>
    </w:p>
    <w:p>
      <w:pPr>
        <w:spacing w:after="60" w:line="264"/>
        <w:ind w:left="240"/>
      </w:pPr>
      <w:r>
        <w:rPr>
          <w:b/>
          <w:bCs/>
        </w:rPr>
        <w:t xml:space="preserve">5. </w:t>
      </w:r>
      <w:r>
        <w:t xml:space="preserve">Relire l’intégralité du diff. Commit référencé, ex. : « L03: import transactions Saxo idempotent (FR-010, FR-011, REC-01) ».</w:t>
      </w:r>
    </w:p>
    <w:p>
      <w:pPr>
        <w:spacing w:after="60" w:line="264"/>
        <w:ind w:left="240"/>
      </w:pPr>
      <w:r>
        <w:rPr>
          <w:b/>
          <w:bCs/>
        </w:rPr>
        <w:t xml:space="preserve">6. </w:t>
      </w:r>
      <w:r>
        <w:t xml:space="preserve">Clôturer : cocher la fiche de lot, mettre à jour CHANGELOG.md, consigner toute décision prise dans 90-decisions.md.</w:t>
      </w:r>
    </w:p>
    <w:p>
      <w:pPr>
        <w:spacing w:after="60" w:before="0" w:line="264"/>
      </w:pPr>
      <w:r>
        <w:t xml:space="preserve"> </w:t>
      </w:r>
    </w:p>
    <w:tbl>
      <w:tblPr>
        <w:tblW w:type="dxa" w:w="9638"/>
        <w:tblBorders>
          <w:top w:val="single" w:color="BFBFBF" w:sz="4"/>
          <w:left w:val="single" w:color="1F3864" w:sz="18"/>
          <w:bottom w:val="single" w:color="BFBFBF" w:sz="4"/>
          <w:right w:val="single" w:color="BFBFBF" w:sz="4"/>
          <w:insideH w:val="single" w:color="BFBFBF" w:sz="4"/>
          <w:insideV w:val="single" w:color="BFBFBF" w:sz="4"/>
        </w:tblBorders>
      </w:tblPr>
      <w:tblGrid>
        <w:gridCol w:w="9638"/>
      </w:tblGrid>
      <w:tr>
        <w:tc>
          <w:tcPr>
            <w:tcW w:type="dxa" w:w="9638"/>
            <w:shd w:fill="EDF1F8" w:val="clear"/>
            <w:tcMar>
              <w:top w:type="dxa" w:w="90"/>
              <w:left w:type="dxa" w:w="140"/>
              <w:bottom w:type="dxa" w:w="90"/>
              <w:right w:type="dxa" w:w="140"/>
            </w:tcMar>
          </w:tcPr>
          <w:p>
            <w:pPr>
              <w:spacing w:after="40" w:before="0" w:line="264"/>
            </w:pPr>
            <w:r>
              <w:rPr>
                <w:b/>
                <w:bCs/>
                <w:color w:val="1F3864"/>
              </w:rPr>
              <w:t xml:space="preserve">Règles de session</w:t>
            </w:r>
          </w:p>
          <w:p>
            <w:pPr>
              <w:pStyle w:val="ListParagraph"/>
              <w:numPr>
                <w:ilvl w:val="0"/>
                <w:numId w:val="2"/>
              </w:numPr>
              <w:spacing w:after="60" w:line="264"/>
            </w:pPr>
            <w:r>
              <w:t xml:space="preserve">Un seul lot par session ; le lot suivant démarre dans une nouvelle session (contexte propre).</w:t>
            </w:r>
          </w:p>
          <w:p>
            <w:pPr>
              <w:pStyle w:val="ListParagraph"/>
              <w:numPr>
                <w:ilvl w:val="0"/>
                <w:numId w:val="2"/>
              </w:numPr>
              <w:spacing w:after="60" w:line="264"/>
            </w:pPr>
            <w:r>
              <w:t xml:space="preserve">Si un lot déborde de la session, le scinder (L05a, L05b…) plutôt que de continuer dans une conversation saturée.</w:t>
            </w:r>
          </w:p>
          <w:p>
            <w:pPr>
              <w:pStyle w:val="ListParagraph"/>
              <w:numPr>
                <w:ilvl w:val="0"/>
                <w:numId w:val="2"/>
              </w:numPr>
              <w:spacing w:after="60" w:line="264"/>
            </w:pPr>
            <w:r>
              <w:t xml:space="preserve">Jamais de commit d’un diff non lu ; jamais deux lots mélangés dans un même commit.</w:t>
            </w:r>
          </w:p>
          <w:p>
            <w:pPr>
              <w:pStyle w:val="ListParagraph"/>
              <w:numPr>
                <w:ilvl w:val="0"/>
                <w:numId w:val="2"/>
              </w:numPr>
              <w:spacing w:after="60" w:line="264"/>
            </w:pPr>
            <w:r>
              <w:t xml:space="preserve">Si la spécification est ambiguë : l’agent s’arrête, pose la question, et la réponse est consignée dans 90-decisions.md.</w:t>
            </w:r>
          </w:p>
        </w:tc>
      </w:tr>
    </w:tbl>
    <w:p>
      <w:pPr>
        <w:pStyle w:val="Heading2"/>
        <w:spacing w:after="120" w:before="240"/>
      </w:pPr>
      <w:r>
        <w:t xml:space="preserve">2.6 Garde-fous absolus (repris dans CLAUDE.md)</w:t>
      </w:r>
    </w:p>
    <w:p>
      <w:pPr>
        <w:pStyle w:val="ListParagraph"/>
        <w:numPr>
          <w:ilvl w:val="0"/>
          <w:numId w:val="2"/>
        </w:numPr>
        <w:spacing w:after="60" w:line="264"/>
      </w:pPr>
      <w:r>
        <w:rPr>
          <w:b/>
          <w:bCs/>
        </w:rPr>
        <w:t xml:space="preserve">Aucun envoi d’ordre au courtier</w:t>
      </w:r>
      <w:r>
        <w:t xml:space="preserve">, sous aucune forme : API courtier, automatisation de navigateur, e-mail, webhook. Toute demande en ce sens est refusée et signalée.</w:t>
      </w:r>
    </w:p>
    <w:p>
      <w:pPr>
        <w:pStyle w:val="ListParagraph"/>
        <w:numPr>
          <w:ilvl w:val="0"/>
          <w:numId w:val="2"/>
        </w:numPr>
        <w:spacing w:after="60" w:line="264"/>
      </w:pPr>
      <w:r>
        <w:rPr>
          <w:b/>
          <w:bCs/>
        </w:rPr>
        <w:t xml:space="preserve">Aucun LLM dans la chaîne de calcul financier</w:t>
      </w:r>
      <w:r>
        <w:t xml:space="preserve"> : P/L, risque, taille, KPI et rapprochements sont du code déterministe et testé.</w:t>
      </w:r>
    </w:p>
    <w:p>
      <w:pPr>
        <w:pStyle w:val="ListParagraph"/>
        <w:numPr>
          <w:ilvl w:val="0"/>
          <w:numId w:val="2"/>
        </w:numPr>
        <w:spacing w:after="60" w:line="264"/>
      </w:pPr>
      <w:r>
        <w:rPr>
          <w:b/>
          <w:bCs/>
        </w:rPr>
        <w:t xml:space="preserve">Jamais de float pour l’argent</w:t>
      </w:r>
      <w:r>
        <w:t xml:space="preserve"> : Decimal côté Python, NUMERIC côté PostgreSQL (§10.3).</w:t>
      </w:r>
    </w:p>
    <w:p>
      <w:pPr>
        <w:pStyle w:val="ListParagraph"/>
        <w:numPr>
          <w:ilvl w:val="0"/>
          <w:numId w:val="2"/>
        </w:numPr>
        <w:spacing w:after="60" w:line="264"/>
      </w:pPr>
      <w:r>
        <w:rPr>
          <w:b/>
          <w:bCs/>
        </w:rPr>
        <w:t xml:space="preserve">Aucune donnée inventée</w:t>
      </w:r>
      <w:r>
        <w:t xml:space="preserve"> : tout cours, taux ou événement porte source, horodatage et statut de fraîcheur ; en l’absence de donnée, l’état « inconnu » est explicite.</w:t>
      </w:r>
    </w:p>
    <w:p>
      <w:pPr>
        <w:pStyle w:val="ListParagraph"/>
        <w:numPr>
          <w:ilvl w:val="0"/>
          <w:numId w:val="2"/>
        </w:numPr>
        <w:spacing w:after="60" w:line="264"/>
      </w:pPr>
      <w:r>
        <w:rPr>
          <w:b/>
          <w:bCs/>
        </w:rPr>
        <w:t xml:space="preserve">Aucune migration destructive</w:t>
      </w:r>
      <w:r>
        <w:t xml:space="preserve"> ni modification d’une formule validée sans décision consignée dans 90-decisions.md.</w:t>
      </w:r>
    </w:p>
    <w:p>
      <w:pPr>
        <w:pStyle w:val="ListParagraph"/>
        <w:numPr>
          <w:ilvl w:val="0"/>
          <w:numId w:val="2"/>
        </w:numPr>
        <w:spacing w:after="60" w:line="264"/>
      </w:pPr>
      <w:r>
        <w:rPr>
          <w:b/>
          <w:bCs/>
        </w:rPr>
        <w:t xml:space="preserve">Aucune donnée personnelle réelle dans le dépôt git</w:t>
      </w:r>
      <w:r>
        <w:t xml:space="preserve"> : les fixtures sont anonymisées ; data/ est hors versionnement.</w:t>
      </w:r>
    </w:p>
    <w:p>
      <w:pPr>
        <w:pStyle w:val="Heading2"/>
        <w:spacing w:after="120" w:before="240"/>
      </w:pPr>
      <w:r>
        <w:t xml:space="preserve">2.7 Jeux de données de test (fixtures)</w:t>
      </w:r>
    </w:p>
    <w:p>
      <w:pPr>
        <w:spacing w:after="100" w:before="0" w:line="264"/>
      </w:pPr>
      <w:r>
        <w:t xml:space="preserve">Les fixtures sont construites à partir des fichiers réels puis anonymisées (quantités, montants et références modifiés ; structures et colonnes strictement identiques). Chaque fixture est associée à un résultat attendu dans fixtures/expected/ (tests « golden »).</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4238"/>
        <w:gridCol w:w="2300"/>
      </w:tblGrid>
      <w:tr>
        <w:trPr>
          <w:tblHeader/>
        </w:trPr>
        <w:tc>
          <w:tcPr>
            <w:tcW w:type="dxa" w:w="3100"/>
            <w:shd w:fill="1F3864" w:val="clear"/>
            <w:tcMar>
              <w:top w:type="dxa" w:w="50"/>
              <w:left w:type="dxa" w:w="90"/>
              <w:bottom w:type="dxa" w:w="50"/>
              <w:right w:type="dxa" w:w="90"/>
            </w:tcMar>
            <w:vAlign w:val="center"/>
          </w:tcPr>
          <w:p>
            <w:pPr>
              <w:spacing w:after="0" w:line="240"/>
            </w:pPr>
            <w:r>
              <w:rPr>
                <w:b/>
                <w:bCs/>
                <w:color w:val="FFFFFF"/>
                <w:sz w:val="18"/>
                <w:szCs w:val="18"/>
              </w:rPr>
              <w:t xml:space="preserve">Fixture</w:t>
            </w:r>
          </w:p>
        </w:tc>
        <w:tc>
          <w:tcPr>
            <w:tcW w:type="dxa" w:w="4238"/>
            <w:shd w:fill="1F3864" w:val="clear"/>
            <w:tcMar>
              <w:top w:type="dxa" w:w="50"/>
              <w:left w:type="dxa" w:w="90"/>
              <w:bottom w:type="dxa" w:w="50"/>
              <w:right w:type="dxa" w:w="90"/>
            </w:tcMar>
            <w:vAlign w:val="center"/>
          </w:tcPr>
          <w:p>
            <w:pPr>
              <w:spacing w:after="0" w:line="240"/>
            </w:pPr>
            <w:r>
              <w:rPr>
                <w:b/>
                <w:bCs/>
                <w:color w:val="FFFFFF"/>
                <w:sz w:val="18"/>
                <w:szCs w:val="18"/>
              </w:rPr>
              <w:t xml:space="preserve">Contenu</w:t>
            </w:r>
          </w:p>
        </w:tc>
        <w:tc>
          <w:tcPr>
            <w:tcW w:type="dxa" w:w="2300"/>
            <w:shd w:fill="1F3864" w:val="clear"/>
            <w:tcMar>
              <w:top w:type="dxa" w:w="50"/>
              <w:left w:type="dxa" w:w="90"/>
              <w:bottom w:type="dxa" w:w="50"/>
              <w:right w:type="dxa" w:w="90"/>
            </w:tcMar>
            <w:vAlign w:val="center"/>
          </w:tcPr>
          <w:p>
            <w:pPr>
              <w:spacing w:after="0" w:line="240"/>
            </w:pPr>
            <w:r>
              <w:rPr>
                <w:b/>
                <w:bCs/>
                <w:color w:val="FFFFFF"/>
                <w:sz w:val="18"/>
                <w:szCs w:val="18"/>
              </w:rPr>
              <w:t xml:space="preserve">Utilisée par</w:t>
            </w:r>
          </w:p>
        </w:tc>
      </w:tr>
      <w:tr>
        <w:tc>
          <w:tcPr>
            <w:tcW w:type="dxa" w:w="3100"/>
            <w:tcMar>
              <w:top w:type="dxa" w:w="50"/>
              <w:left w:type="dxa" w:w="90"/>
              <w:bottom w:type="dxa" w:w="50"/>
              <w:right w:type="dxa" w:w="90"/>
            </w:tcMar>
            <w:vAlign w:val="center"/>
          </w:tcPr>
          <w:p>
            <w:pPr>
              <w:spacing w:after="0" w:line="240"/>
            </w:pPr>
            <w:r>
              <w:rPr>
                <w:sz w:val="18"/>
                <w:szCs w:val="18"/>
              </w:rPr>
              <w:t xml:space="preserve">saxo_positions_sample.xlsx</w:t>
            </w:r>
          </w:p>
        </w:tc>
        <w:tc>
          <w:tcPr>
            <w:tcW w:type="dxa" w:w="4238"/>
            <w:tcMar>
              <w:top w:type="dxa" w:w="50"/>
              <w:left w:type="dxa" w:w="90"/>
              <w:bottom w:type="dxa" w:w="50"/>
              <w:right w:type="dxa" w:w="90"/>
            </w:tcMar>
            <w:vAlign w:val="center"/>
          </w:tcPr>
          <w:p>
            <w:pPr>
              <w:spacing w:after="0" w:line="240"/>
            </w:pPr>
            <w:r>
              <w:rPr>
                <w:sz w:val="18"/>
                <w:szCs w:val="18"/>
              </w:rPr>
              <w:t xml:space="preserve">8–10 lignes, colonnes identiques à l’export réel, dont 1 ligne SRD.</w:t>
            </w:r>
          </w:p>
        </w:tc>
        <w:tc>
          <w:tcPr>
            <w:tcW w:type="dxa" w:w="2300"/>
            <w:tcMar>
              <w:top w:type="dxa" w:w="50"/>
              <w:left w:type="dxa" w:w="90"/>
              <w:bottom w:type="dxa" w:w="50"/>
              <w:right w:type="dxa" w:w="90"/>
            </w:tcMar>
            <w:vAlign w:val="center"/>
          </w:tcPr>
          <w:p>
            <w:pPr>
              <w:spacing w:after="0" w:line="240"/>
            </w:pPr>
            <w:r>
              <w:rPr>
                <w:sz w:val="18"/>
                <w:szCs w:val="18"/>
              </w:rPr>
              <w:t xml:space="preserve">L04, rapprochement</w:t>
            </w:r>
          </w:p>
        </w:tc>
      </w:tr>
      <w:tr>
        <w:tc>
          <w:tcPr>
            <w:tcW w:type="dxa" w:w="3100"/>
            <w:shd w:fill="F7F9FC" w:val="clear"/>
            <w:tcMar>
              <w:top w:type="dxa" w:w="50"/>
              <w:left w:type="dxa" w:w="90"/>
              <w:bottom w:type="dxa" w:w="50"/>
              <w:right w:type="dxa" w:w="90"/>
            </w:tcMar>
            <w:vAlign w:val="center"/>
          </w:tcPr>
          <w:p>
            <w:pPr>
              <w:spacing w:after="0" w:line="240"/>
            </w:pPr>
            <w:r>
              <w:rPr>
                <w:sz w:val="18"/>
                <w:szCs w:val="18"/>
              </w:rPr>
              <w:t xml:space="preserve">saxo_transactions_sample.xlsx</w:t>
            </w:r>
          </w:p>
        </w:tc>
        <w:tc>
          <w:tcPr>
            <w:tcW w:type="dxa" w:w="4238"/>
            <w:shd w:fill="F7F9FC" w:val="clear"/>
            <w:tcMar>
              <w:top w:type="dxa" w:w="50"/>
              <w:left w:type="dxa" w:w="90"/>
              <w:bottom w:type="dxa" w:w="50"/>
              <w:right w:type="dxa" w:w="90"/>
            </w:tcMar>
            <w:vAlign w:val="center"/>
          </w:tcPr>
          <w:p>
            <w:pPr>
              <w:spacing w:after="0" w:line="240"/>
            </w:pPr>
            <w:r>
              <w:rPr>
                <w:sz w:val="18"/>
                <w:szCs w:val="18"/>
              </w:rPr>
              <w:t xml:space="preserve">≈30 opérations dont un doublon volontaire, une OST et une opération SRD.</w:t>
            </w:r>
          </w:p>
        </w:tc>
        <w:tc>
          <w:tcPr>
            <w:tcW w:type="dxa" w:w="2300"/>
            <w:shd w:fill="F7F9FC" w:val="clear"/>
            <w:tcMar>
              <w:top w:type="dxa" w:w="50"/>
              <w:left w:type="dxa" w:w="90"/>
              <w:bottom w:type="dxa" w:w="50"/>
              <w:right w:type="dxa" w:w="90"/>
            </w:tcMar>
            <w:vAlign w:val="center"/>
          </w:tcPr>
          <w:p>
            <w:pPr>
              <w:spacing w:after="0" w:line="240"/>
            </w:pPr>
            <w:r>
              <w:rPr>
                <w:sz w:val="18"/>
                <w:szCs w:val="18"/>
              </w:rPr>
              <w:t xml:space="preserve">L03, REC-01/33</w:t>
            </w:r>
          </w:p>
        </w:tc>
      </w:tr>
      <w:tr>
        <w:tc>
          <w:tcPr>
            <w:tcW w:type="dxa" w:w="3100"/>
            <w:tcMar>
              <w:top w:type="dxa" w:w="50"/>
              <w:left w:type="dxa" w:w="90"/>
              <w:bottom w:type="dxa" w:w="50"/>
              <w:right w:type="dxa" w:w="90"/>
            </w:tcMar>
            <w:vAlign w:val="center"/>
          </w:tcPr>
          <w:p>
            <w:pPr>
              <w:spacing w:after="0" w:line="240"/>
            </w:pPr>
            <w:r>
              <w:rPr>
                <w:sz w:val="18"/>
                <w:szCs w:val="18"/>
              </w:rPr>
              <w:t xml:space="preserve">bourso_positions_sample.csv</w:t>
            </w:r>
          </w:p>
        </w:tc>
        <w:tc>
          <w:tcPr>
            <w:tcW w:type="dxa" w:w="4238"/>
            <w:tcMar>
              <w:top w:type="dxa" w:w="50"/>
              <w:left w:type="dxa" w:w="90"/>
              <w:bottom w:type="dxa" w:w="50"/>
              <w:right w:type="dxa" w:w="90"/>
            </w:tcMar>
            <w:vAlign w:val="center"/>
          </w:tcPr>
          <w:p>
            <w:pPr>
              <w:spacing w:after="0" w:line="240"/>
            </w:pPr>
            <w:r>
              <w:rPr>
                <w:sz w:val="18"/>
                <w:szCs w:val="18"/>
              </w:rPr>
              <w:t xml:space="preserve">5 lignes PEA (name, isin, quantity, buyingPrice…).</w:t>
            </w:r>
          </w:p>
        </w:tc>
        <w:tc>
          <w:tcPr>
            <w:tcW w:type="dxa" w:w="2300"/>
            <w:tcMar>
              <w:top w:type="dxa" w:w="50"/>
              <w:left w:type="dxa" w:w="90"/>
              <w:bottom w:type="dxa" w:w="50"/>
              <w:right w:type="dxa" w:w="90"/>
            </w:tcMar>
            <w:vAlign w:val="center"/>
          </w:tcPr>
          <w:p>
            <w:pPr>
              <w:spacing w:after="0" w:line="240"/>
            </w:pPr>
            <w:r>
              <w:rPr>
                <w:sz w:val="18"/>
                <w:szCs w:val="18"/>
              </w:rPr>
              <w:t xml:space="preserve">L04</w:t>
            </w:r>
          </w:p>
        </w:tc>
      </w:tr>
      <w:tr>
        <w:tc>
          <w:tcPr>
            <w:tcW w:type="dxa" w:w="3100"/>
            <w:shd w:fill="F7F9FC" w:val="clear"/>
            <w:tcMar>
              <w:top w:type="dxa" w:w="50"/>
              <w:left w:type="dxa" w:w="90"/>
              <w:bottom w:type="dxa" w:w="50"/>
              <w:right w:type="dxa" w:w="90"/>
            </w:tcMar>
            <w:vAlign w:val="center"/>
          </w:tcPr>
          <w:p>
            <w:pPr>
              <w:spacing w:after="0" w:line="240"/>
            </w:pPr>
            <w:r>
              <w:rPr>
                <w:sz w:val="18"/>
                <w:szCs w:val="18"/>
              </w:rPr>
              <w:t xml:space="preserve">cotations_sample.csv</w:t>
            </w:r>
          </w:p>
        </w:tc>
        <w:tc>
          <w:tcPr>
            <w:tcW w:type="dxa" w:w="4238"/>
            <w:shd w:fill="F7F9FC" w:val="clear"/>
            <w:tcMar>
              <w:top w:type="dxa" w:w="50"/>
              <w:left w:type="dxa" w:w="90"/>
              <w:bottom w:type="dxa" w:w="50"/>
              <w:right w:type="dxa" w:w="90"/>
            </w:tcMar>
            <w:vAlign w:val="center"/>
          </w:tcPr>
          <w:p>
            <w:pPr>
              <w:spacing w:after="0" w:line="240"/>
            </w:pPr>
            <w:r>
              <w:rPr>
                <w:sz w:val="18"/>
                <w:szCs w:val="18"/>
              </w:rPr>
              <w:t xml:space="preserve">3 ISIN × 60 séances, sans en-tête (ISIN;date;OHLC;volume).</w:t>
            </w:r>
          </w:p>
        </w:tc>
        <w:tc>
          <w:tcPr>
            <w:tcW w:type="dxa" w:w="2300"/>
            <w:shd w:fill="F7F9FC" w:val="clear"/>
            <w:tcMar>
              <w:top w:type="dxa" w:w="50"/>
              <w:left w:type="dxa" w:w="90"/>
              <w:bottom w:type="dxa" w:w="50"/>
              <w:right w:type="dxa" w:w="90"/>
            </w:tcMar>
            <w:vAlign w:val="center"/>
          </w:tcPr>
          <w:p>
            <w:pPr>
              <w:spacing w:after="0" w:line="240"/>
            </w:pPr>
            <w:r>
              <w:rPr>
                <w:sz w:val="18"/>
                <w:szCs w:val="18"/>
              </w:rPr>
              <w:t xml:space="preserve">L02</w:t>
            </w:r>
          </w:p>
        </w:tc>
      </w:tr>
      <w:tr>
        <w:tc>
          <w:tcPr>
            <w:tcW w:type="dxa" w:w="3100"/>
            <w:tcMar>
              <w:top w:type="dxa" w:w="50"/>
              <w:left w:type="dxa" w:w="90"/>
              <w:bottom w:type="dxa" w:w="50"/>
              <w:right w:type="dxa" w:w="90"/>
            </w:tcMar>
            <w:vAlign w:val="center"/>
          </w:tcPr>
          <w:p>
            <w:pPr>
              <w:spacing w:after="0" w:line="240"/>
            </w:pPr>
            <w:r>
              <w:rPr>
                <w:sz w:val="18"/>
                <w:szCs w:val="18"/>
              </w:rPr>
              <w:t xml:space="preserve">momentum_sample.docx</w:t>
            </w:r>
          </w:p>
        </w:tc>
        <w:tc>
          <w:tcPr>
            <w:tcW w:type="dxa" w:w="4238"/>
            <w:tcMar>
              <w:top w:type="dxa" w:w="50"/>
              <w:left w:type="dxa" w:w="90"/>
              <w:bottom w:type="dxa" w:w="50"/>
              <w:right w:type="dxa" w:w="90"/>
            </w:tcMar>
            <w:vAlign w:val="center"/>
          </w:tcPr>
          <w:p>
            <w:pPr>
              <w:spacing w:after="0" w:line="240"/>
            </w:pPr>
            <w:r>
              <w:rPr>
                <w:sz w:val="18"/>
                <w:szCs w:val="18"/>
              </w:rPr>
              <w:t xml:space="preserve">2 blocs datés avec recommandations, supports, résistances, invalidations.</w:t>
            </w:r>
          </w:p>
        </w:tc>
        <w:tc>
          <w:tcPr>
            <w:tcW w:type="dxa" w:w="2300"/>
            <w:tcMar>
              <w:top w:type="dxa" w:w="50"/>
              <w:left w:type="dxa" w:w="90"/>
              <w:bottom w:type="dxa" w:w="50"/>
              <w:right w:type="dxa" w:w="90"/>
            </w:tcMar>
            <w:vAlign w:val="center"/>
          </w:tcPr>
          <w:p>
            <w:pPr>
              <w:spacing w:after="0" w:line="240"/>
            </w:pPr>
            <w:r>
              <w:rPr>
                <w:sz w:val="18"/>
                <w:szCs w:val="18"/>
              </w:rPr>
              <w:t xml:space="preserve">L14, FR-100</w:t>
            </w:r>
          </w:p>
        </w:tc>
      </w:tr>
      <w:tr>
        <w:tc>
          <w:tcPr>
            <w:tcW w:type="dxa" w:w="3100"/>
            <w:shd w:fill="F7F9FC" w:val="clear"/>
            <w:tcMar>
              <w:top w:type="dxa" w:w="50"/>
              <w:left w:type="dxa" w:w="90"/>
              <w:bottom w:type="dxa" w:w="50"/>
              <w:right w:type="dxa" w:w="90"/>
            </w:tcMar>
            <w:vAlign w:val="center"/>
          </w:tcPr>
          <w:p>
            <w:pPr>
              <w:spacing w:after="0" w:line="240"/>
            </w:pPr>
            <w:r>
              <w:rPr>
                <w:sz w:val="18"/>
                <w:szCs w:val="18"/>
              </w:rPr>
              <w:t xml:space="preserve">claude_export_sample.zip</w:t>
            </w:r>
          </w:p>
        </w:tc>
        <w:tc>
          <w:tcPr>
            <w:tcW w:type="dxa" w:w="4238"/>
            <w:shd w:fill="F7F9FC" w:val="clear"/>
            <w:tcMar>
              <w:top w:type="dxa" w:w="50"/>
              <w:left w:type="dxa" w:w="90"/>
              <w:bottom w:type="dxa" w:w="50"/>
              <w:right w:type="dxa" w:w="90"/>
            </w:tcMar>
            <w:vAlign w:val="center"/>
          </w:tcPr>
          <w:p>
            <w:pPr>
              <w:spacing w:after="0" w:line="240"/>
            </w:pPr>
            <w:r>
              <w:rPr>
                <w:sz w:val="18"/>
                <w:szCs w:val="18"/>
              </w:rPr>
              <w:t xml:space="preserve">2 projets factices dont « Investissement Bourse ».</w:t>
            </w:r>
          </w:p>
        </w:tc>
        <w:tc>
          <w:tcPr>
            <w:tcW w:type="dxa" w:w="2300"/>
            <w:shd w:fill="F7F9FC" w:val="clear"/>
            <w:tcMar>
              <w:top w:type="dxa" w:w="50"/>
              <w:left w:type="dxa" w:w="90"/>
              <w:bottom w:type="dxa" w:w="50"/>
              <w:right w:type="dxa" w:w="90"/>
            </w:tcMar>
            <w:vAlign w:val="center"/>
          </w:tcPr>
          <w:p>
            <w:pPr>
              <w:spacing w:after="0" w:line="240"/>
            </w:pPr>
            <w:r>
              <w:rPr>
                <w:sz w:val="18"/>
                <w:szCs w:val="18"/>
              </w:rPr>
              <w:t xml:space="preserve">L18, REC-20</w:t>
            </w:r>
          </w:p>
        </w:tc>
      </w:tr>
      <w:tr>
        <w:tc>
          <w:tcPr>
            <w:tcW w:type="dxa" w:w="3100"/>
            <w:tcMar>
              <w:top w:type="dxa" w:w="50"/>
              <w:left w:type="dxa" w:w="90"/>
              <w:bottom w:type="dxa" w:w="50"/>
              <w:right w:type="dxa" w:w="90"/>
            </w:tcMar>
            <w:vAlign w:val="center"/>
          </w:tcPr>
          <w:p>
            <w:pPr>
              <w:spacing w:after="0" w:line="240"/>
            </w:pPr>
            <w:r>
              <w:rPr>
                <w:sz w:val="18"/>
                <w:szCs w:val="18"/>
              </w:rPr>
              <w:t xml:space="preserve">expected/*.json</w:t>
            </w:r>
          </w:p>
        </w:tc>
        <w:tc>
          <w:tcPr>
            <w:tcW w:type="dxa" w:w="4238"/>
            <w:tcMar>
              <w:top w:type="dxa" w:w="50"/>
              <w:left w:type="dxa" w:w="90"/>
              <w:bottom w:type="dxa" w:w="50"/>
              <w:right w:type="dxa" w:w="90"/>
            </w:tcMar>
            <w:vAlign w:val="center"/>
          </w:tcPr>
          <w:p>
            <w:pPr>
              <w:spacing w:after="0" w:line="240"/>
            </w:pPr>
            <w:r>
              <w:rPr>
                <w:sz w:val="18"/>
                <w:szCs w:val="18"/>
              </w:rPr>
              <w:t xml:space="preserve">Sorties normalisées attendues après import et après calcul.</w:t>
            </w:r>
          </w:p>
        </w:tc>
        <w:tc>
          <w:tcPr>
            <w:tcW w:type="dxa" w:w="2300"/>
            <w:tcMar>
              <w:top w:type="dxa" w:w="50"/>
              <w:left w:type="dxa" w:w="90"/>
              <w:bottom w:type="dxa" w:w="50"/>
              <w:right w:type="dxa" w:w="90"/>
            </w:tcMar>
            <w:vAlign w:val="center"/>
          </w:tcPr>
          <w:p>
            <w:pPr>
              <w:spacing w:after="0" w:line="240"/>
            </w:pPr>
            <w:r>
              <w:rPr>
                <w:sz w:val="18"/>
                <w:szCs w:val="18"/>
              </w:rPr>
              <w:t xml:space="preserve">Tous les tests golden</w:t>
            </w:r>
          </w:p>
        </w:tc>
      </w:tr>
    </w:tbl>
    <w:p>
      <w:pPr>
        <w:pStyle w:val="Heading2"/>
        <w:spacing w:after="120" w:before="240"/>
      </w:pPr>
      <w:r>
        <w:t xml:space="preserve">2.8 Journal des décisions (ADR léger)</w:t>
      </w:r>
    </w:p>
    <w:p>
      <w:pPr>
        <w:spacing w:after="100" w:before="0" w:line="264"/>
      </w:pPr>
      <w:r>
        <w:t xml:space="preserve">Toute décision prise en cours de développement (choix technique, précision d’une règle, dérogation) est ajoutée en fin de docs/specs/90-decisions.md au format :</w:t>
      </w:r>
    </w:p>
    <w:p>
      <w:pPr>
        <w:keepLines/>
        <w:shd w:fill="F5F5F5" w:val="clear"/>
        <w:spacing w:after="0" w:line="240"/>
        <w:ind w:left="160" w:right="160"/>
      </w:pPr>
      <w:r>
        <w:rPr>
          <w:rFonts w:ascii="Consolas" w:cs="Consolas" w:eastAsia="Consolas" w:hAnsi="Consolas"/>
          <w:sz w:val="17"/>
          <w:szCs w:val="17"/>
        </w:rPr>
        <w:t xml:space="preserve">## D-014 — 2026-08-02 — Arrondi des quantités SRD</w:t>
      </w:r>
    </w:p>
    <w:p>
      <w:pPr>
        <w:keepLines/>
        <w:shd w:fill="F5F5F5" w:val="clear"/>
        <w:spacing w:after="120" w:line="240"/>
        <w:ind w:left="160" w:right="160"/>
      </w:pPr>
      <w:r>
        <w:rPr>
          <w:rFonts w:ascii="Consolas" w:cs="Consolas" w:eastAsia="Consolas" w:hAnsi="Consolas"/>
          <w:sz w:val="17"/>
          <w:szCs w:val="17"/>
        </w:rPr>
        <w:t xml:space="preserve">Contexte : …   Décision : …   Motif : …   Impact : FR-042, lot L07.</w:t>
      </w:r>
    </w:p>
    <w:p>
      <w:pPr>
        <w:spacing w:after="100" w:before="0" w:line="264"/>
      </w:pPr>
      <w:r>
        <w:t xml:space="preserve">L’agent cite l’identifiant D-xxx dans le code lorsque la décision explique un choix non évident. Une décision ne se modifie pas : elle se remplace par une nouvelle entrée qui la référence.</w:t>
      </w:r>
    </w:p>
    <w:p>
      <w:r>
        <w:br w:type="page"/>
      </w:r>
    </w:p>
    <w:p>
      <w:pPr>
        <w:pStyle w:val="Heading1"/>
        <w:spacing w:after="140" w:before="300"/>
      </w:pPr>
      <w:r>
        <w:t xml:space="preserve">3. Contexte, profil d’utilisation et principes</w:t>
      </w:r>
    </w:p>
    <w:p>
      <w:pPr>
        <w:pStyle w:val="Heading2"/>
        <w:spacing w:after="120" w:before="240"/>
      </w:pPr>
      <w:r>
        <w:t xml:space="preserve">3.1 Profil d’utilisation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138"/>
      </w:tblGrid>
      <w:tr>
        <w:trPr>
          <w:tblHeader/>
        </w:trPr>
        <w:tc>
          <w:tcPr>
            <w:tcW w:type="dxa" w:w="2500"/>
            <w:shd w:fill="1F3864" w:val="clear"/>
            <w:tcMar>
              <w:top w:type="dxa" w:w="50"/>
              <w:left w:type="dxa" w:w="90"/>
              <w:bottom w:type="dxa" w:w="50"/>
              <w:right w:type="dxa" w:w="90"/>
            </w:tcMar>
            <w:vAlign w:val="center"/>
          </w:tcPr>
          <w:p>
            <w:pPr>
              <w:spacing w:after="0" w:line="240"/>
            </w:pPr>
            <w:r>
              <w:rPr>
                <w:b/>
                <w:bCs/>
                <w:color w:val="FFFFFF"/>
                <w:sz w:val="18"/>
                <w:szCs w:val="18"/>
              </w:rPr>
              <w:t xml:space="preserve">Élément</w:t>
            </w:r>
          </w:p>
        </w:tc>
        <w:tc>
          <w:tcPr>
            <w:tcW w:type="dxa" w:w="7138"/>
            <w:shd w:fill="1F3864" w:val="clear"/>
            <w:tcMar>
              <w:top w:type="dxa" w:w="50"/>
              <w:left w:type="dxa" w:w="90"/>
              <w:bottom w:type="dxa" w:w="50"/>
              <w:right w:type="dxa" w:w="90"/>
            </w:tcMar>
            <w:vAlign w:val="center"/>
          </w:tcPr>
          <w:p>
            <w:pPr>
              <w:spacing w:after="0" w:line="240"/>
            </w:pPr>
            <w:r>
              <w:rPr>
                <w:b/>
                <w:bCs/>
                <w:color w:val="FFFFFF"/>
                <w:sz w:val="18"/>
                <w:szCs w:val="18"/>
              </w:rPr>
              <w:t xml:space="preserve">Paramètre de référence</w:t>
            </w:r>
          </w:p>
        </w:tc>
      </w:tr>
      <w:tr>
        <w:tc>
          <w:tcPr>
            <w:tcW w:type="dxa" w:w="2500"/>
            <w:tcMar>
              <w:top w:type="dxa" w:w="50"/>
              <w:left w:type="dxa" w:w="90"/>
              <w:bottom w:type="dxa" w:w="50"/>
              <w:right w:type="dxa" w:w="90"/>
            </w:tcMar>
            <w:vAlign w:val="center"/>
          </w:tcPr>
          <w:p>
            <w:pPr>
              <w:spacing w:after="0" w:line="240"/>
            </w:pPr>
            <w:r>
              <w:rPr>
                <w:sz w:val="18"/>
                <w:szCs w:val="18"/>
              </w:rPr>
              <w:t xml:space="preserve">Marché de référence</w:t>
            </w:r>
          </w:p>
        </w:tc>
        <w:tc>
          <w:tcPr>
            <w:tcW w:type="dxa" w:w="7138"/>
            <w:tcMar>
              <w:top w:type="dxa" w:w="50"/>
              <w:left w:type="dxa" w:w="90"/>
              <w:bottom w:type="dxa" w:w="50"/>
              <w:right w:type="dxa" w:w="90"/>
            </w:tcMar>
            <w:vAlign w:val="center"/>
          </w:tcPr>
          <w:p>
            <w:pPr>
              <w:spacing w:after="0" w:line="240"/>
            </w:pPr>
            <w:r>
              <w:rPr>
                <w:sz w:val="18"/>
                <w:szCs w:val="18"/>
              </w:rPr>
              <w:t xml:space="preserve">France / Euronext Paris : CAC 40, SBF 120 et mid caps. Seul marché offrant le SRD, base du rituel quotidien et des gates historiques.</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Marchés européens</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Euronext Amsterdam, Bruxelles, Lisbonne et Milan ; Xetra ; SIX ; LSE ; BME. Grandes et moyennes capitalisations, au comptant, éligibilité PEA variable selon le pays de l’émetteur.</w:t>
            </w:r>
          </w:p>
        </w:tc>
      </w:tr>
      <w:tr>
        <w:tc>
          <w:tcPr>
            <w:tcW w:type="dxa" w:w="2500"/>
            <w:tcMar>
              <w:top w:type="dxa" w:w="50"/>
              <w:left w:type="dxa" w:w="90"/>
              <w:bottom w:type="dxa" w:w="50"/>
              <w:right w:type="dxa" w:w="90"/>
            </w:tcMar>
            <w:vAlign w:val="center"/>
          </w:tcPr>
          <w:p>
            <w:pPr>
              <w:spacing w:after="0" w:line="240"/>
            </w:pPr>
            <w:r>
              <w:rPr>
                <w:sz w:val="18"/>
                <w:szCs w:val="18"/>
              </w:rPr>
              <w:t xml:space="preserve">Marchés américains</w:t>
            </w:r>
          </w:p>
        </w:tc>
        <w:tc>
          <w:tcPr>
            <w:tcW w:type="dxa" w:w="7138"/>
            <w:tcMar>
              <w:top w:type="dxa" w:w="50"/>
              <w:left w:type="dxa" w:w="90"/>
              <w:bottom w:type="dxa" w:w="50"/>
              <w:right w:type="dxa" w:w="90"/>
            </w:tcMar>
            <w:vAlign w:val="center"/>
          </w:tcPr>
          <w:p>
            <w:pPr>
              <w:spacing w:after="0" w:line="240"/>
            </w:pPr>
            <w:r>
              <w:rPr>
                <w:sz w:val="18"/>
                <w:szCs w:val="18"/>
              </w:rPr>
              <w:t xml:space="preserve">Nasdaq et NYSE : grandes capitalisations en USD, au comptant, exclusivement sur le CTO Saxo, sans SRD ni levier.</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Devises</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EUR de référence ; USD, GBP, CHF, SEK, DKK et NOK admises. Aucune couverture de change dans le MVP : le risque est mesuré et affiché, jamais neutralisé (§16).</w:t>
            </w:r>
          </w:p>
        </w:tc>
      </w:tr>
      <w:tr>
        <w:tc>
          <w:tcPr>
            <w:tcW w:type="dxa" w:w="2500"/>
            <w:tcMar>
              <w:top w:type="dxa" w:w="50"/>
              <w:left w:type="dxa" w:w="90"/>
              <w:bottom w:type="dxa" w:w="50"/>
              <w:right w:type="dxa" w:w="90"/>
            </w:tcMar>
            <w:vAlign w:val="center"/>
          </w:tcPr>
          <w:p>
            <w:pPr>
              <w:spacing w:after="0" w:line="240"/>
            </w:pPr>
            <w:r>
              <w:rPr>
                <w:sz w:val="18"/>
                <w:szCs w:val="18"/>
              </w:rPr>
              <w:t xml:space="preserve">Horizon dominant</w:t>
            </w:r>
          </w:p>
        </w:tc>
        <w:tc>
          <w:tcPr>
            <w:tcW w:type="dxa" w:w="7138"/>
            <w:tcMar>
              <w:top w:type="dxa" w:w="50"/>
              <w:left w:type="dxa" w:w="90"/>
              <w:bottom w:type="dxa" w:w="50"/>
              <w:right w:type="dxa" w:w="90"/>
            </w:tcMar>
            <w:vAlign w:val="center"/>
          </w:tcPr>
          <w:p>
            <w:pPr>
              <w:spacing w:after="0" w:line="240"/>
            </w:pPr>
            <w:r>
              <w:rPr>
                <w:sz w:val="18"/>
                <w:szCs w:val="18"/>
              </w:rPr>
              <w:t xml:space="preserve">Court et moyen terme : quelques jours à 2–6 semaines, plus quelques lignes patrimoniales.</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Capital pilote</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40 000 € ; poche exceptionnelle maximale de 90 000 € uniquement sur opportunité exceptionnelle et après autorisation explicite.</w:t>
            </w:r>
          </w:p>
        </w:tc>
      </w:tr>
      <w:tr>
        <w:tc>
          <w:tcPr>
            <w:tcW w:type="dxa" w:w="2500"/>
            <w:tcMar>
              <w:top w:type="dxa" w:w="50"/>
              <w:left w:type="dxa" w:w="90"/>
              <w:bottom w:type="dxa" w:w="50"/>
              <w:right w:type="dxa" w:w="90"/>
            </w:tcMar>
            <w:vAlign w:val="center"/>
          </w:tcPr>
          <w:p>
            <w:pPr>
              <w:spacing w:after="0" w:line="240"/>
            </w:pPr>
            <w:r>
              <w:rPr>
                <w:sz w:val="18"/>
                <w:szCs w:val="18"/>
              </w:rPr>
              <w:t xml:space="preserve">Risque de référence</w:t>
            </w:r>
          </w:p>
        </w:tc>
        <w:tc>
          <w:tcPr>
            <w:tcW w:type="dxa" w:w="7138"/>
            <w:tcMar>
              <w:top w:type="dxa" w:w="50"/>
              <w:left w:type="dxa" w:w="90"/>
              <w:bottom w:type="dxa" w:w="50"/>
              <w:right w:type="dxa" w:w="90"/>
            </w:tcMar>
            <w:vAlign w:val="center"/>
          </w:tcPr>
          <w:p>
            <w:pPr>
              <w:spacing w:after="0" w:line="240"/>
            </w:pPr>
            <w:r>
              <w:rPr>
                <w:sz w:val="18"/>
                <w:szCs w:val="18"/>
              </w:rPr>
              <w:t xml:space="preserve">0,75 % du capital pilote (300 €) par trade, sauf grade A validé (§6.7).</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Portefeuille cible</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5 à 15 positions ; exposition habituelle 60 % à 80 %.</w:t>
            </w:r>
          </w:p>
        </w:tc>
      </w:tr>
      <w:tr>
        <w:tc>
          <w:tcPr>
            <w:tcW w:type="dxa" w:w="2500"/>
            <w:tcMar>
              <w:top w:type="dxa" w:w="50"/>
              <w:left w:type="dxa" w:w="90"/>
              <w:bottom w:type="dxa" w:w="50"/>
              <w:right w:type="dxa" w:w="90"/>
            </w:tcMar>
            <w:vAlign w:val="center"/>
          </w:tcPr>
          <w:p>
            <w:pPr>
              <w:spacing w:after="0" w:line="240"/>
            </w:pPr>
            <w:r>
              <w:rPr>
                <w:sz w:val="18"/>
                <w:szCs w:val="18"/>
              </w:rPr>
              <w:t xml:space="preserve">Rythme</w:t>
            </w:r>
          </w:p>
        </w:tc>
        <w:tc>
          <w:tcPr>
            <w:tcW w:type="dxa" w:w="7138"/>
            <w:tcMar>
              <w:top w:type="dxa" w:w="50"/>
              <w:left w:type="dxa" w:w="90"/>
              <w:bottom w:type="dxa" w:w="50"/>
              <w:right w:type="dxa" w:w="90"/>
            </w:tcMar>
            <w:vAlign w:val="center"/>
          </w:tcPr>
          <w:p>
            <w:pPr>
              <w:spacing w:after="0" w:line="240"/>
            </w:pPr>
            <w:r>
              <w:rPr>
                <w:sz w:val="18"/>
                <w:szCs w:val="18"/>
              </w:rPr>
              <w:t xml:space="preserve">Suivi quotidien possible ; rituel synthétique 2 à 3 fois par semaine.</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Liquidité</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Réserve mobilisable en permanence pour ventes judiciaires immobilières (poche protégée).</w:t>
            </w:r>
          </w:p>
        </w:tc>
      </w:tr>
    </w:tbl>
    <w:p>
      <w:pPr>
        <w:pStyle w:val="Heading2"/>
        <w:spacing w:after="120" w:before="240"/>
      </w:pPr>
      <w:r>
        <w:t xml:space="preserve">3.2 Principes non négociables</w:t>
      </w:r>
    </w:p>
    <w:p>
      <w:pPr>
        <w:pStyle w:val="ListParagraph"/>
        <w:numPr>
          <w:ilvl w:val="0"/>
          <w:numId w:val="2"/>
        </w:numPr>
        <w:spacing w:after="60" w:line="264"/>
      </w:pPr>
      <w:r>
        <w:t xml:space="preserve">Séparer systématiquement faits, sources externes, analyse, opinion et incertitudes.</w:t>
      </w:r>
    </w:p>
    <w:p>
      <w:pPr>
        <w:pStyle w:val="ListParagraph"/>
        <w:numPr>
          <w:ilvl w:val="0"/>
          <w:numId w:val="2"/>
        </w:numPr>
        <w:spacing w:after="60" w:line="264"/>
      </w:pPr>
      <w:r>
        <w:t xml:space="preserve">Ne jamais inventer un cours, une actualité, un volume ou une date ; toute donnée porte horodatage, source et statut de fraîcheur.</w:t>
      </w:r>
    </w:p>
    <w:p>
      <w:pPr>
        <w:pStyle w:val="ListParagraph"/>
        <w:numPr>
          <w:ilvl w:val="0"/>
          <w:numId w:val="2"/>
        </w:numPr>
        <w:spacing w:after="60" w:line="264"/>
      </w:pPr>
      <w:r>
        <w:t xml:space="preserve">Ne pas forcer de BUY lorsque les signaux sont insuffisants : NO TRADE est une décision valable.</w:t>
      </w:r>
    </w:p>
    <w:p>
      <w:pPr>
        <w:pStyle w:val="ListParagraph"/>
        <w:numPr>
          <w:ilvl w:val="0"/>
          <w:numId w:val="2"/>
        </w:numPr>
        <w:spacing w:after="60" w:line="264"/>
      </w:pPr>
      <w:r>
        <w:t xml:space="preserve">Un stop suiveur ne descend jamais sans justification exceptionnelle, explicite et historisée.</w:t>
      </w:r>
    </w:p>
    <w:p>
      <w:pPr>
        <w:pStyle w:val="ListParagraph"/>
        <w:numPr>
          <w:ilvl w:val="0"/>
          <w:numId w:val="2"/>
        </w:numPr>
        <w:spacing w:after="60" w:line="264"/>
      </w:pPr>
      <w:r>
        <w:t xml:space="preserve">Les calculs financiers sont déterministes et testables ; une IA générative n’est jamais la source de vérité comptable.</w:t>
      </w:r>
    </w:p>
    <w:p>
      <w:pPr>
        <w:pStyle w:val="ListParagraph"/>
        <w:numPr>
          <w:ilvl w:val="0"/>
          <w:numId w:val="2"/>
        </w:numPr>
        <w:spacing w:after="60" w:line="264"/>
      </w:pPr>
      <w:r>
        <w:t xml:space="preserve">Les règles et recommandations sont versionnées pour éviter le biais rétrospectif.</w:t>
      </w:r>
    </w:p>
    <w:p>
      <w:pPr>
        <w:pStyle w:val="ListParagraph"/>
        <w:numPr>
          <w:ilvl w:val="0"/>
          <w:numId w:val="2"/>
        </w:numPr>
        <w:spacing w:after="60" w:line="264"/>
      </w:pPr>
      <w:r>
        <w:t xml:space="preserve">Toute action de l’utilisateur qui diffère de la recommandation est enregistrable avec sa raison.</w:t>
      </w:r>
    </w:p>
    <w:p>
      <w:pPr>
        <w:pStyle w:val="Heading1"/>
        <w:spacing w:after="140" w:before="300"/>
      </w:pPr>
      <w:r>
        <w:t xml:space="preserve">4. Périmètre et exclusions</w:t>
      </w:r>
    </w:p>
    <w:p>
      <w:pPr>
        <w:pStyle w:val="Heading2"/>
        <w:spacing w:after="120" w:before="240"/>
      </w:pPr>
      <w:r>
        <w:t xml:space="preserve">4.1 Périmètre fonctionnel cible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838"/>
      </w:tblGrid>
      <w:tr>
        <w:trPr>
          <w:tblHeader/>
        </w:trPr>
        <w:tc>
          <w:tcPr>
            <w:tcW w:type="dxa" w:w="1800"/>
            <w:shd w:fill="1F3864" w:val="clear"/>
            <w:tcMar>
              <w:top w:type="dxa" w:w="50"/>
              <w:left w:type="dxa" w:w="90"/>
              <w:bottom w:type="dxa" w:w="50"/>
              <w:right w:type="dxa" w:w="90"/>
            </w:tcMar>
            <w:vAlign w:val="center"/>
          </w:tcPr>
          <w:p>
            <w:pPr>
              <w:spacing w:after="0" w:line="240"/>
            </w:pPr>
            <w:r>
              <w:rPr>
                <w:b/>
                <w:bCs/>
                <w:color w:val="FFFFFF"/>
                <w:sz w:val="18"/>
                <w:szCs w:val="18"/>
              </w:rPr>
              <w:t xml:space="preserve">Domaine</w:t>
            </w:r>
          </w:p>
        </w:tc>
        <w:tc>
          <w:tcPr>
            <w:tcW w:type="dxa" w:w="7838"/>
            <w:shd w:fill="1F3864" w:val="clear"/>
            <w:tcMar>
              <w:top w:type="dxa" w:w="50"/>
              <w:left w:type="dxa" w:w="90"/>
              <w:bottom w:type="dxa" w:w="50"/>
              <w:right w:type="dxa" w:w="90"/>
            </w:tcMar>
            <w:vAlign w:val="center"/>
          </w:tcPr>
          <w:p>
            <w:pPr>
              <w:spacing w:after="0" w:line="240"/>
            </w:pPr>
            <w:r>
              <w:rPr>
                <w:b/>
                <w:bCs/>
                <w:color w:val="FFFFFF"/>
                <w:sz w:val="18"/>
                <w:szCs w:val="18"/>
              </w:rPr>
              <w:t xml:space="preserve">Inclus</w:t>
            </w:r>
          </w:p>
        </w:tc>
      </w:tr>
      <w:tr>
        <w:tc>
          <w:tcPr>
            <w:tcW w:type="dxa" w:w="1800"/>
            <w:tcMar>
              <w:top w:type="dxa" w:w="50"/>
              <w:left w:type="dxa" w:w="90"/>
              <w:bottom w:type="dxa" w:w="50"/>
              <w:right w:type="dxa" w:w="90"/>
            </w:tcMar>
            <w:vAlign w:val="center"/>
          </w:tcPr>
          <w:p>
            <w:pPr>
              <w:spacing w:after="0" w:line="240"/>
            </w:pPr>
            <w:r>
              <w:rPr>
                <w:sz w:val="18"/>
                <w:szCs w:val="18"/>
              </w:rPr>
              <w:t xml:space="preserve">Comptes</w:t>
            </w:r>
          </w:p>
        </w:tc>
        <w:tc>
          <w:tcPr>
            <w:tcW w:type="dxa" w:w="7838"/>
            <w:tcMar>
              <w:top w:type="dxa" w:w="50"/>
              <w:left w:type="dxa" w:w="90"/>
              <w:bottom w:type="dxa" w:w="50"/>
              <w:right w:type="dxa" w:w="90"/>
            </w:tcMar>
            <w:vAlign w:val="center"/>
          </w:tcPr>
          <w:p>
            <w:pPr>
              <w:spacing w:after="0" w:line="240"/>
            </w:pPr>
            <w:r>
              <w:rPr>
                <w:sz w:val="18"/>
                <w:szCs w:val="18"/>
              </w:rPr>
              <w:t xml:space="preserve">CTO, PEA, SRD, poches cash, épargne et réserves patrimoniales renseignées manuellement.</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Produits</w:t>
            </w:r>
          </w:p>
        </w:tc>
        <w:tc>
          <w:tcPr>
            <w:tcW w:type="dxa" w:w="7838"/>
            <w:shd w:fill="F7F9FC" w:val="clear"/>
            <w:tcMar>
              <w:top w:type="dxa" w:w="50"/>
              <w:left w:type="dxa" w:w="90"/>
              <w:bottom w:type="dxa" w:w="50"/>
              <w:right w:type="dxa" w:w="90"/>
            </w:tcMar>
            <w:vAlign w:val="center"/>
          </w:tcPr>
          <w:p>
            <w:pPr>
              <w:spacing w:after="0" w:line="240"/>
            </w:pPr>
            <w:r>
              <w:rPr>
                <w:sz w:val="18"/>
                <w:szCs w:val="18"/>
              </w:rPr>
              <w:t xml:space="preserve">Actions et ETF actions. Architecture extensible ; dérivés, options et crypto hors MVP.</w:t>
            </w:r>
          </w:p>
        </w:tc>
      </w:tr>
      <w:tr>
        <w:tc>
          <w:tcPr>
            <w:tcW w:type="dxa" w:w="1800"/>
            <w:tcMar>
              <w:top w:type="dxa" w:w="50"/>
              <w:left w:type="dxa" w:w="90"/>
              <w:bottom w:type="dxa" w:w="50"/>
              <w:right w:type="dxa" w:w="90"/>
            </w:tcMar>
            <w:vAlign w:val="center"/>
          </w:tcPr>
          <w:p>
            <w:pPr>
              <w:spacing w:after="0" w:line="240"/>
            </w:pPr>
            <w:r>
              <w:rPr>
                <w:sz w:val="18"/>
                <w:szCs w:val="18"/>
              </w:rPr>
              <w:t xml:space="preserve">Marchés</w:t>
            </w:r>
          </w:p>
        </w:tc>
        <w:tc>
          <w:tcPr>
            <w:tcW w:type="dxa" w:w="7838"/>
            <w:tcMar>
              <w:top w:type="dxa" w:w="50"/>
              <w:left w:type="dxa" w:w="90"/>
              <w:bottom w:type="dxa" w:w="50"/>
              <w:right w:type="dxa" w:w="90"/>
            </w:tcMar>
            <w:vAlign w:val="center"/>
          </w:tcPr>
          <w:p>
            <w:pPr>
              <w:spacing w:after="0" w:line="240"/>
            </w:pPr>
            <w:r>
              <w:rPr>
                <w:sz w:val="18"/>
                <w:szCs w:val="18"/>
              </w:rPr>
              <w:t xml:space="preserve">Euronext Paris (seul marché SRD), Euronext Amsterdam/Bruxelles/Lisbonne/Milan, Xetra, SIX, LSE, BME, Nasdaq et NYSE. Toute autre place exige une décision consignée (§16).</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Données</w:t>
            </w:r>
          </w:p>
        </w:tc>
        <w:tc>
          <w:tcPr>
            <w:tcW w:type="dxa" w:w="7838"/>
            <w:shd w:fill="F7F9FC" w:val="clear"/>
            <w:tcMar>
              <w:top w:type="dxa" w:w="50"/>
              <w:left w:type="dxa" w:w="90"/>
              <w:bottom w:type="dxa" w:w="50"/>
              <w:right w:type="dxa" w:w="90"/>
            </w:tcMar>
            <w:vAlign w:val="center"/>
          </w:tcPr>
          <w:p>
            <w:pPr>
              <w:spacing w:after="0" w:line="240"/>
            </w:pPr>
            <w:r>
              <w:rPr>
                <w:sz w:val="18"/>
                <w:szCs w:val="18"/>
              </w:rPr>
              <w:t xml:space="preserve">Positions, transactions, ordres, cours OHLCV, devises, événements, sources expertes, newsletters, captures.</w:t>
            </w:r>
          </w:p>
        </w:tc>
      </w:tr>
      <w:tr>
        <w:tc>
          <w:tcPr>
            <w:tcW w:type="dxa" w:w="1800"/>
            <w:tcMar>
              <w:top w:type="dxa" w:w="50"/>
              <w:left w:type="dxa" w:w="90"/>
              <w:bottom w:type="dxa" w:w="50"/>
              <w:right w:type="dxa" w:w="90"/>
            </w:tcMar>
            <w:vAlign w:val="center"/>
          </w:tcPr>
          <w:p>
            <w:pPr>
              <w:spacing w:after="0" w:line="240"/>
            </w:pPr>
            <w:r>
              <w:rPr>
                <w:sz w:val="18"/>
                <w:szCs w:val="18"/>
              </w:rPr>
              <w:t xml:space="preserve">Décision</w:t>
            </w:r>
          </w:p>
        </w:tc>
        <w:tc>
          <w:tcPr>
            <w:tcW w:type="dxa" w:w="7838"/>
            <w:tcMar>
              <w:top w:type="dxa" w:w="50"/>
              <w:left w:type="dxa" w:w="90"/>
              <w:bottom w:type="dxa" w:w="50"/>
              <w:right w:type="dxa" w:w="90"/>
            </w:tcMar>
            <w:vAlign w:val="center"/>
          </w:tcPr>
          <w:p>
            <w:pPr>
              <w:spacing w:after="0" w:line="240"/>
            </w:pPr>
            <w:r>
              <w:rPr>
                <w:sz w:val="18"/>
                <w:szCs w:val="18"/>
              </w:rPr>
              <w:t xml:space="preserve">Scoring, scénarios, taille, stop, objectifs, invalidation, horizon, confiance et plan d’action.</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Pilotage</w:t>
            </w:r>
          </w:p>
        </w:tc>
        <w:tc>
          <w:tcPr>
            <w:tcW w:type="dxa" w:w="7838"/>
            <w:shd w:fill="F7F9FC" w:val="clear"/>
            <w:tcMar>
              <w:top w:type="dxa" w:w="50"/>
              <w:left w:type="dxa" w:w="90"/>
              <w:bottom w:type="dxa" w:w="50"/>
              <w:right w:type="dxa" w:w="90"/>
            </w:tcMar>
            <w:vAlign w:val="center"/>
          </w:tcPr>
          <w:p>
            <w:pPr>
              <w:spacing w:after="0" w:line="240"/>
            </w:pPr>
            <w:r>
              <w:rPr>
                <w:sz w:val="18"/>
                <w:szCs w:val="18"/>
              </w:rPr>
              <w:t xml:space="preserve">Dashboard, alertes, calendrier, journal de décisions, rapports, post-mortem.</w:t>
            </w:r>
          </w:p>
        </w:tc>
      </w:tr>
      <w:tr>
        <w:tc>
          <w:tcPr>
            <w:tcW w:type="dxa" w:w="1800"/>
            <w:tcMar>
              <w:top w:type="dxa" w:w="50"/>
              <w:left w:type="dxa" w:w="90"/>
              <w:bottom w:type="dxa" w:w="50"/>
              <w:right w:type="dxa" w:w="90"/>
            </w:tcMar>
            <w:vAlign w:val="center"/>
          </w:tcPr>
          <w:p>
            <w:pPr>
              <w:spacing w:after="0" w:line="240"/>
            </w:pPr>
            <w:r>
              <w:rPr>
                <w:sz w:val="18"/>
                <w:szCs w:val="18"/>
              </w:rPr>
              <w:t xml:space="preserve">Patrimoine</w:t>
            </w:r>
          </w:p>
        </w:tc>
        <w:tc>
          <w:tcPr>
            <w:tcW w:type="dxa" w:w="7838"/>
            <w:tcMar>
              <w:top w:type="dxa" w:w="50"/>
              <w:left w:type="dxa" w:w="90"/>
              <w:bottom w:type="dxa" w:w="50"/>
              <w:right w:type="dxa" w:w="90"/>
            </w:tcMar>
            <w:vAlign w:val="center"/>
          </w:tcPr>
          <w:p>
            <w:pPr>
              <w:spacing w:after="0" w:line="240"/>
            </w:pPr>
            <w:r>
              <w:rPr>
                <w:sz w:val="18"/>
                <w:szCs w:val="18"/>
              </w:rPr>
              <w:t xml:space="preserve">Répartition des liquidités et poche réservée à l’immobilier judiciaire, sans gestion notariale ou juridique.</w:t>
            </w:r>
          </w:p>
        </w:tc>
      </w:tr>
    </w:tbl>
    <w:p>
      <w:pPr>
        <w:pStyle w:val="Heading2"/>
        <w:spacing w:after="120" w:before="240"/>
      </w:pPr>
      <w:r>
        <w:t xml:space="preserve">4.2 Hors périmètre du MVP</w:t>
      </w:r>
    </w:p>
    <w:p>
      <w:pPr>
        <w:pStyle w:val="ListParagraph"/>
        <w:numPr>
          <w:ilvl w:val="0"/>
          <w:numId w:val="2"/>
        </w:numPr>
        <w:spacing w:after="60" w:line="264"/>
      </w:pPr>
      <w:r>
        <w:t xml:space="preserve">Exécution automatique ou semi-automatique d’ordres chez Saxo, Boursobank ou tout autre courtier.</w:t>
      </w:r>
    </w:p>
    <w:p>
      <w:pPr>
        <w:pStyle w:val="ListParagraph"/>
        <w:numPr>
          <w:ilvl w:val="0"/>
          <w:numId w:val="2"/>
        </w:numPr>
        <w:spacing w:after="60" w:line="264"/>
      </w:pPr>
      <w:r>
        <w:t xml:space="preserve">Conseil réglementé destiné à des tiers, gestion sous mandat ou multi-clients.</w:t>
      </w:r>
    </w:p>
    <w:p>
      <w:pPr>
        <w:pStyle w:val="ListParagraph"/>
        <w:numPr>
          <w:ilvl w:val="0"/>
          <w:numId w:val="2"/>
        </w:numPr>
        <w:spacing w:after="60" w:line="264"/>
      </w:pPr>
      <w:r>
        <w:t xml:space="preserve">Scraping de contenus payants ou contournement de contrôles d’accès.</w:t>
      </w:r>
    </w:p>
    <w:p>
      <w:pPr>
        <w:pStyle w:val="ListParagraph"/>
        <w:numPr>
          <w:ilvl w:val="0"/>
          <w:numId w:val="2"/>
        </w:numPr>
        <w:spacing w:after="60" w:line="264"/>
      </w:pPr>
      <w:r>
        <w:t xml:space="preserve">Promesse de cotation temps réel sans flux licencié : en différé, l’interface affiche « différé » et l’heure exacte.</w:t>
      </w:r>
    </w:p>
    <w:p>
      <w:pPr>
        <w:pStyle w:val="ListParagraph"/>
        <w:numPr>
          <w:ilvl w:val="0"/>
          <w:numId w:val="2"/>
        </w:numPr>
        <w:spacing w:after="60" w:line="264"/>
      </w:pPr>
      <w:r>
        <w:t xml:space="preserve">Calcul fiscal opposable à l’administration : l’outil fournit des estimations et conserve le P/L communiqué par le courtier.</w:t>
      </w:r>
    </w:p>
    <w:p>
      <w:pPr>
        <w:pStyle w:val="ListParagraph"/>
        <w:numPr>
          <w:ilvl w:val="0"/>
          <w:numId w:val="2"/>
        </w:numPr>
        <w:spacing w:after="60" w:line="264"/>
      </w:pPr>
      <w:r>
        <w:t xml:space="preserve">Automatisation des enchères immobilières judiciaires.</w:t>
      </w:r>
    </w:p>
    <w:p>
      <w:pPr>
        <w:pStyle w:val="ListParagraph"/>
        <w:numPr>
          <w:ilvl w:val="0"/>
          <w:numId w:val="2"/>
        </w:numPr>
        <w:spacing w:after="60" w:line="264"/>
      </w:pPr>
      <w:r>
        <w:t xml:space="preserve">Couverture du risque de change par instruments dérivés : l’exposition devise est mesurée et affichée, jamais couverte ni simulée.</w:t>
      </w:r>
    </w:p>
    <w:p>
      <w:pPr>
        <w:pStyle w:val="ListParagraph"/>
        <w:numPr>
          <w:ilvl w:val="0"/>
          <w:numId w:val="2"/>
        </w:numPr>
        <w:spacing w:after="60" w:line="264"/>
      </w:pPr>
      <w:r>
        <w:t xml:space="preserve">Négociation hors séance principale : les séances pre-market et after-hours américaines ne sont ni cotées, ni recommandées, ni utilisées pour valoriser une position.</w:t>
      </w:r>
    </w:p>
    <w:p>
      <w:pPr>
        <w:pStyle w:val="ListParagraph"/>
        <w:numPr>
          <w:ilvl w:val="0"/>
          <w:numId w:val="2"/>
        </w:numPr>
        <w:spacing w:after="60" w:line="264"/>
      </w:pPr>
      <w:r>
        <w:t xml:space="preserve">Arbitrage entre lignes de cotation d’un même émetteur (double cotation, ADR) : une seule place de référence est retenue par instrument.</w:t>
      </w:r>
    </w:p>
    <w:p>
      <w:pPr>
        <w:pStyle w:val="ListParagraph"/>
        <w:numPr>
          <w:ilvl w:val="0"/>
          <w:numId w:val="2"/>
        </w:numPr>
        <w:spacing w:after="60" w:line="264"/>
      </w:pPr>
      <w:r>
        <w:t xml:space="preserve">Récupération de la retenue à la source étrangère : l’outil estime le montant retenu, il ne produit aucun formulaire ni aucune démarche.</w:t>
      </w:r>
    </w:p>
    <w:p>
      <w:pPr>
        <w:pStyle w:val="ListParagraph"/>
        <w:numPr>
          <w:ilvl w:val="0"/>
          <w:numId w:val="2"/>
        </w:numPr>
        <w:spacing w:after="60" w:line="264"/>
      </w:pPr>
      <w:r>
        <w:t xml:space="preserve">Effet de levier hors Euronext Paris : aucun équivalent SRD n’est proposé sur les marchés européens ou américains.</w:t>
      </w:r>
    </w:p>
    <w:p>
      <w:pPr>
        <w:pStyle w:val="Heading1"/>
        <w:spacing w:after="140" w:before="300"/>
      </w:pPr>
      <w:r>
        <w:t xml:space="preserve">5. Parcours et cas d’usage</w:t>
      </w:r>
    </w:p>
    <w:p>
      <w:pPr>
        <w:pStyle w:val="Heading2"/>
        <w:spacing w:after="120" w:before="240"/>
      </w:pPr>
      <w:r>
        <w:t xml:space="preserve">5.1 Persona</w:t>
      </w:r>
    </w:p>
    <w:p>
      <w:pPr>
        <w:spacing w:after="100" w:before="0" w:line="264"/>
      </w:pPr>
      <w:r>
        <w:t xml:space="preserve">Utilisateur unique, expérimenté mais non professionnel, gérant activement plusieurs comptes, consultant des newsletters expertes et consacrant environ une heure par jour à l’analyse. Il veut réduire les erreurs opérationnelles, conserver un historique exploitable et mesurer objectivement la qualité de sa stratégie.</w:t>
      </w:r>
    </w:p>
    <w:p>
      <w:pPr>
        <w:pStyle w:val="Heading2"/>
        <w:spacing w:after="120" w:before="240"/>
      </w:pPr>
      <w:r>
        <w:t xml:space="preserve">5.2 Parcours de référence (session quotidienne)</w:t>
      </w:r>
    </w:p>
    <w:p>
      <w:pPr>
        <w:spacing w:after="60" w:line="264"/>
        <w:ind w:left="240"/>
      </w:pPr>
      <w:r>
        <w:rPr>
          <w:b/>
          <w:bCs/>
        </w:rPr>
        <w:t xml:space="preserve">1. </w:t>
      </w:r>
      <w:r>
        <w:t xml:space="preserve">Importer positions, transactions et ordres ouverts depuis les courtiers.</w:t>
      </w:r>
    </w:p>
    <w:p>
      <w:pPr>
        <w:spacing w:after="60" w:line="264"/>
        <w:ind w:left="240"/>
      </w:pPr>
      <w:r>
        <w:rPr>
          <w:b/>
          <w:bCs/>
        </w:rPr>
        <w:t xml:space="preserve">2. </w:t>
      </w:r>
      <w:r>
        <w:t xml:space="preserve">Mettre à jour cours, historiques 12 mois, actualités et calendriers.</w:t>
      </w:r>
    </w:p>
    <w:p>
      <w:pPr>
        <w:spacing w:after="60" w:line="264"/>
        <w:ind w:left="240"/>
      </w:pPr>
      <w:r>
        <w:rPr>
          <w:b/>
          <w:bCs/>
        </w:rPr>
        <w:t xml:space="preserve">3. </w:t>
      </w:r>
      <w:r>
        <w:t xml:space="preserve">Analyser les positions existantes et remonter les stops des gagnants.</w:t>
      </w:r>
    </w:p>
    <w:p>
      <w:pPr>
        <w:spacing w:after="60" w:line="264"/>
        <w:ind w:left="240"/>
      </w:pPr>
      <w:r>
        <w:rPr>
          <w:b/>
          <w:bCs/>
        </w:rPr>
        <w:t xml:space="preserve">4. </w:t>
      </w:r>
      <w:r>
        <w:t xml:space="preserve">Évaluer les niveaux Momentum, catalyseurs et risques de publication.</w:t>
      </w:r>
    </w:p>
    <w:p>
      <w:pPr>
        <w:spacing w:after="60" w:line="264"/>
        <w:ind w:left="240"/>
      </w:pPr>
      <w:r>
        <w:rPr>
          <w:b/>
          <w:bCs/>
        </w:rPr>
        <w:t xml:space="preserve">5. </w:t>
      </w:r>
      <w:r>
        <w:t xml:space="preserve">Générer recommandations et scénarios, puis valider ou refuser chaque ordre potentiel.</w:t>
      </w:r>
    </w:p>
    <w:p>
      <w:pPr>
        <w:spacing w:after="60" w:line="264"/>
        <w:ind w:left="240"/>
      </w:pPr>
      <w:r>
        <w:rPr>
          <w:b/>
          <w:bCs/>
        </w:rPr>
        <w:t xml:space="preserve">6. </w:t>
      </w:r>
      <w:r>
        <w:t xml:space="preserve">Enregistrer les transactions réellement exécutées, y compris les écarts de quantité, de prix et de compte.</w:t>
      </w:r>
    </w:p>
    <w:p>
      <w:pPr>
        <w:spacing w:after="60" w:line="264"/>
        <w:ind w:left="240"/>
      </w:pPr>
      <w:r>
        <w:rPr>
          <w:b/>
          <w:bCs/>
        </w:rPr>
        <w:t xml:space="preserve">7. </w:t>
      </w:r>
      <w:r>
        <w:t xml:space="preserve">Mesurer le résultat à D+1, D+5, D+20, D+60 et à la clôture du trade.</w:t>
      </w:r>
    </w:p>
    <w:p>
      <w:pPr>
        <w:spacing w:after="60" w:line="264"/>
        <w:ind w:left="240"/>
      </w:pPr>
      <w:r>
        <w:rPr>
          <w:b/>
          <w:bCs/>
        </w:rPr>
        <w:t xml:space="preserve">8. </w:t>
      </w:r>
      <w:r>
        <w:t xml:space="preserve">Produire une revue hebdomadaire et mensuelle avec propositions d’amélioration.</w:t>
      </w:r>
    </w:p>
    <w:p>
      <w:pPr>
        <w:pStyle w:val="Heading2"/>
        <w:spacing w:after="120" w:before="240"/>
      </w:pPr>
      <w:r>
        <w:t xml:space="preserve">5.3 Cas d’usage structurants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138"/>
      </w:tblGrid>
      <w:tr>
        <w:trPr>
          <w:tblHeader/>
        </w:trPr>
        <w:tc>
          <w:tcPr>
            <w:tcW w:type="dxa" w:w="2500"/>
            <w:shd w:fill="1F3864" w:val="clear"/>
            <w:tcMar>
              <w:top w:type="dxa" w:w="50"/>
              <w:left w:type="dxa" w:w="90"/>
              <w:bottom w:type="dxa" w:w="50"/>
              <w:right w:type="dxa" w:w="90"/>
            </w:tcMar>
            <w:vAlign w:val="center"/>
          </w:tcPr>
          <w:p>
            <w:pPr>
              <w:spacing w:after="0" w:line="240"/>
            </w:pPr>
            <w:r>
              <w:rPr>
                <w:b/>
                <w:bCs/>
                <w:color w:val="FFFFFF"/>
                <w:sz w:val="18"/>
                <w:szCs w:val="18"/>
              </w:rPr>
              <w:t xml:space="preserve">Cas</w:t>
            </w:r>
          </w:p>
        </w:tc>
        <w:tc>
          <w:tcPr>
            <w:tcW w:type="dxa" w:w="7138"/>
            <w:shd w:fill="1F3864" w:val="clear"/>
            <w:tcMar>
              <w:top w:type="dxa" w:w="50"/>
              <w:left w:type="dxa" w:w="90"/>
              <w:bottom w:type="dxa" w:w="50"/>
              <w:right w:type="dxa" w:w="90"/>
            </w:tcMar>
            <w:vAlign w:val="center"/>
          </w:tcPr>
          <w:p>
            <w:pPr>
              <w:spacing w:after="0" w:line="240"/>
            </w:pPr>
            <w:r>
              <w:rPr>
                <w:b/>
                <w:bCs/>
                <w:color w:val="FFFFFF"/>
                <w:sz w:val="18"/>
                <w:szCs w:val="18"/>
              </w:rPr>
              <w:t xml:space="preserve">Comportement attendu</w:t>
            </w:r>
          </w:p>
        </w:tc>
      </w:tr>
      <w:tr>
        <w:tc>
          <w:tcPr>
            <w:tcW w:type="dxa" w:w="2500"/>
            <w:tcMar>
              <w:top w:type="dxa" w:w="50"/>
              <w:left w:type="dxa" w:w="90"/>
              <w:bottom w:type="dxa" w:w="50"/>
              <w:right w:type="dxa" w:w="90"/>
            </w:tcMar>
            <w:vAlign w:val="center"/>
          </w:tcPr>
          <w:p>
            <w:pPr>
              <w:spacing w:after="0" w:line="240"/>
            </w:pPr>
            <w:r>
              <w:rPr>
                <w:sz w:val="18"/>
                <w:szCs w:val="18"/>
              </w:rPr>
              <w:t xml:space="preserve">Quantité exécutée différente</w:t>
            </w:r>
          </w:p>
        </w:tc>
        <w:tc>
          <w:tcPr>
            <w:tcW w:type="dxa" w:w="7138"/>
            <w:tcMar>
              <w:top w:type="dxa" w:w="50"/>
              <w:left w:type="dxa" w:w="90"/>
              <w:bottom w:type="dxa" w:w="50"/>
              <w:right w:type="dxa" w:w="90"/>
            </w:tcMar>
            <w:vAlign w:val="center"/>
          </w:tcPr>
          <w:p>
            <w:pPr>
              <w:spacing w:after="0" w:line="240"/>
            </w:pPr>
            <w:r>
              <w:rPr>
                <w:sz w:val="18"/>
                <w:szCs w:val="18"/>
              </w:rPr>
              <w:t xml:space="preserve">Comparer recommandation et exécution (ex. 30 proposées, 80 achetées) ; recalculer poids, risque, concentration ; attribuer l’écart à une décision utilisateur.</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Compte différent</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Conserver compte recommandé et compte réel (ex. PEA prévu, CTO exécuté après incident) ; mesurer l’impact fiscal et de concentration.</w:t>
            </w:r>
          </w:p>
        </w:tc>
      </w:tr>
      <w:tr>
        <w:tc>
          <w:tcPr>
            <w:tcW w:type="dxa" w:w="2500"/>
            <w:tcMar>
              <w:top w:type="dxa" w:w="50"/>
              <w:left w:type="dxa" w:w="90"/>
              <w:bottom w:type="dxa" w:w="50"/>
              <w:right w:type="dxa" w:w="90"/>
            </w:tcMar>
            <w:vAlign w:val="center"/>
          </w:tcPr>
          <w:p>
            <w:pPr>
              <w:spacing w:after="0" w:line="240"/>
            </w:pPr>
            <w:r>
              <w:rPr>
                <w:sz w:val="18"/>
                <w:szCs w:val="18"/>
              </w:rPr>
              <w:t xml:space="preserve">Ordre vendeur orphelin</w:t>
            </w:r>
          </w:p>
        </w:tc>
        <w:tc>
          <w:tcPr>
            <w:tcW w:type="dxa" w:w="7138"/>
            <w:tcMar>
              <w:top w:type="dxa" w:w="50"/>
              <w:left w:type="dxa" w:w="90"/>
              <w:bottom w:type="dxa" w:w="50"/>
              <w:right w:type="dxa" w:w="90"/>
            </w:tcMar>
            <w:vAlign w:val="center"/>
          </w:tcPr>
          <w:p>
            <w:pPr>
              <w:spacing w:after="0" w:line="240"/>
            </w:pPr>
            <w:r>
              <w:rPr>
                <w:sz w:val="18"/>
                <w:szCs w:val="18"/>
              </w:rPr>
              <w:t xml:space="preserve">Détecter un stop encore actif après clôture de la position ; alerte critique.</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Stop + limite simultanés</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Contrôler la liaison OCO ; alerter si les deux peuvent s’exécuter séparément.</w:t>
            </w:r>
          </w:p>
        </w:tc>
      </w:tr>
      <w:tr>
        <w:tc>
          <w:tcPr>
            <w:tcW w:type="dxa" w:w="2500"/>
            <w:tcMar>
              <w:top w:type="dxa" w:w="50"/>
              <w:left w:type="dxa" w:w="90"/>
              <w:bottom w:type="dxa" w:w="50"/>
              <w:right w:type="dxa" w:w="90"/>
            </w:tcMar>
            <w:vAlign w:val="center"/>
          </w:tcPr>
          <w:p>
            <w:pPr>
              <w:spacing w:after="0" w:line="240"/>
            </w:pPr>
            <w:r>
              <w:rPr>
                <w:sz w:val="18"/>
                <w:szCs w:val="18"/>
              </w:rPr>
              <w:t xml:space="preserve">SRD</w:t>
            </w:r>
          </w:p>
        </w:tc>
        <w:tc>
          <w:tcPr>
            <w:tcW w:type="dxa" w:w="7138"/>
            <w:tcMar>
              <w:top w:type="dxa" w:w="50"/>
              <w:left w:type="dxa" w:w="90"/>
              <w:bottom w:type="dxa" w:w="50"/>
              <w:right w:type="dxa" w:w="90"/>
            </w:tcMar>
            <w:vAlign w:val="center"/>
          </w:tcPr>
          <w:p>
            <w:pPr>
              <w:spacing w:after="0" w:line="240"/>
            </w:pPr>
            <w:r>
              <w:rPr>
                <w:sz w:val="18"/>
                <w:szCs w:val="18"/>
              </w:rPr>
              <w:t xml:space="preserve">Gérer liquidation, prorogation, financement, P/L net et calendrier de décision avant échéance.</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Actions gratuites / OST</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Ajuster quantité et PRU sans créer de faux achat ; conserver le détail de l’opération.</w:t>
            </w:r>
          </w:p>
        </w:tc>
      </w:tr>
      <w:tr>
        <w:tc>
          <w:tcPr>
            <w:tcW w:type="dxa" w:w="2500"/>
            <w:tcMar>
              <w:top w:type="dxa" w:w="50"/>
              <w:left w:type="dxa" w:w="90"/>
              <w:bottom w:type="dxa" w:w="50"/>
              <w:right w:type="dxa" w:w="90"/>
            </w:tcMar>
            <w:vAlign w:val="center"/>
          </w:tcPr>
          <w:p>
            <w:pPr>
              <w:spacing w:after="0" w:line="240"/>
            </w:pPr>
            <w:r>
              <w:rPr>
                <w:sz w:val="18"/>
                <w:szCs w:val="18"/>
              </w:rPr>
              <w:t xml:space="preserve">Cotation différée</w:t>
            </w:r>
          </w:p>
        </w:tc>
        <w:tc>
          <w:tcPr>
            <w:tcW w:type="dxa" w:w="7138"/>
            <w:tcMar>
              <w:top w:type="dxa" w:w="50"/>
              <w:left w:type="dxa" w:w="90"/>
              <w:bottom w:type="dxa" w:w="50"/>
              <w:right w:type="dxa" w:w="90"/>
            </w:tcMar>
            <w:vAlign w:val="center"/>
          </w:tcPr>
          <w:p>
            <w:pPr>
              <w:spacing w:after="0" w:line="240"/>
            </w:pPr>
            <w:r>
              <w:rPr>
                <w:sz w:val="18"/>
                <w:szCs w:val="18"/>
              </w:rPr>
              <w:t xml:space="preserve">Interdire le label « temps réel » ; afficher source, délai, date et heure.</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Réserve immobilière</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Interdire toute recommandation consommant la poche dédiée sans autorisation explicite.</w:t>
            </w:r>
          </w:p>
        </w:tc>
      </w:tr>
    </w:tbl>
    <w:p>
      <w:r>
        <w:br w:type="page"/>
      </w:r>
    </w:p>
    <w:p>
      <w:pPr>
        <w:pStyle w:val="Heading1"/>
        <w:spacing w:after="140" w:before="300"/>
      </w:pPr>
      <w:r>
        <w:t xml:space="preserve">6. Exigences fonctionnelles</w:t>
      </w:r>
    </w:p>
    <w:p>
      <w:pPr>
        <w:spacing w:after="100" w:before="0" w:line="264"/>
      </w:pPr>
      <w:r>
        <w:t xml:space="preserve">Cette section fusionne les exigences des sections 5 et 16 de la v1.2. Chaque règle n’apparaît qu’une fois. Les identifiants FR-xxx sont conservés à l’identique (annexe A).</w:t>
      </w:r>
    </w:p>
    <w:p>
      <w:pPr>
        <w:pStyle w:val="Heading2"/>
        <w:spacing w:after="120" w:before="240"/>
      </w:pPr>
      <w:r>
        <w:t xml:space="preserve">6.1 Comptes, poches de capital et paramètres</w:t>
      </w:r>
    </w:p>
    <w:p>
      <w:pPr>
        <w:pStyle w:val="ListParagraph"/>
        <w:numPr>
          <w:ilvl w:val="0"/>
          <w:numId w:val="2"/>
        </w:numPr>
        <w:spacing w:after="60" w:line="264"/>
      </w:pPr>
      <w:r>
        <w:t xml:space="preserve">Créer plusieurs comptes : CTO, PEA, SRD, cash, épargne, assurance-vie / fonds immobiliers suivis en valeur uniquement.</w:t>
      </w:r>
    </w:p>
    <w:p>
      <w:pPr>
        <w:pStyle w:val="ListParagraph"/>
        <w:numPr>
          <w:ilvl w:val="0"/>
          <w:numId w:val="2"/>
        </w:numPr>
        <w:spacing w:after="60" w:line="264"/>
      </w:pPr>
      <w:r>
        <w:t xml:space="preserve">Pour chaque compte : courtier, devise, enveloppe fiscale, frais, marché autorisé, statut actif.</w:t>
      </w:r>
    </w:p>
    <w:p>
      <w:pPr>
        <w:pStyle w:val="ListParagraph"/>
        <w:numPr>
          <w:ilvl w:val="0"/>
          <w:numId w:val="2"/>
        </w:numPr>
        <w:spacing w:after="60" w:line="264"/>
      </w:pPr>
      <w:r>
        <w:t xml:space="preserve">Poches de capital : capital pilote, cash marché, cash exceptionnel, réserve immobilière judiciaire, épargne de sécurité. Les poches « réserve immobilière » et « épargne de sécurité » sont protégées : aucune recommandation ne peut les consommer sans autorisation explicite horodatée (FR-002, FR-213).</w:t>
      </w:r>
    </w:p>
    <w:p>
      <w:pPr>
        <w:pStyle w:val="ListParagraph"/>
        <w:numPr>
          <w:ilvl w:val="0"/>
          <w:numId w:val="2"/>
        </w:numPr>
        <w:spacing w:after="60" w:line="264"/>
      </w:pPr>
      <w:r>
        <w:t xml:space="preserve">Règles globales et exceptions paramétrables : risque par trade, exposition cible, nombre de positions, seuils de score, limites de concentration.</w:t>
      </w:r>
    </w:p>
    <w:p>
      <w:pPr>
        <w:pStyle w:val="ListParagraph"/>
        <w:numPr>
          <w:ilvl w:val="0"/>
          <w:numId w:val="2"/>
        </w:numPr>
        <w:spacing w:after="60" w:line="264"/>
      </w:pPr>
      <w:r>
        <w:t xml:space="preserve">Tous les paramètres sont versionnés avec date d’effet et commentaire (entité StrategyVersion / RiskBudgetVersion).</w:t>
      </w:r>
    </w:p>
    <w:p>
      <w:pPr>
        <w:pStyle w:val="Heading2"/>
        <w:spacing w:after="120" w:before="240"/>
      </w:pPr>
      <w:r>
        <w:t xml:space="preserve">6.2 Import, normalisation et qualité des données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500"/>
        <w:gridCol w:w="5738"/>
      </w:tblGrid>
      <w:tr>
        <w:trPr>
          <w:tblHeader/>
        </w:trPr>
        <w:tc>
          <w:tcPr>
            <w:tcW w:type="dxa" w:w="2400"/>
            <w:shd w:fill="1F3864" w:val="clear"/>
            <w:tcMar>
              <w:top w:type="dxa" w:w="50"/>
              <w:left w:type="dxa" w:w="90"/>
              <w:bottom w:type="dxa" w:w="50"/>
              <w:right w:type="dxa" w:w="90"/>
            </w:tcMar>
            <w:vAlign w:val="center"/>
          </w:tcPr>
          <w:p>
            <w:pPr>
              <w:spacing w:after="0" w:line="240"/>
            </w:pPr>
            <w:r>
              <w:rPr>
                <w:b/>
                <w:bCs/>
                <w:color w:val="FFFFFF"/>
                <w:sz w:val="18"/>
                <w:szCs w:val="18"/>
              </w:rPr>
              <w:t xml:space="preserve">Source</w:t>
            </w:r>
          </w:p>
        </w:tc>
        <w:tc>
          <w:tcPr>
            <w:tcW w:type="dxa" w:w="1500"/>
            <w:shd w:fill="1F3864" w:val="clear"/>
            <w:tcMar>
              <w:top w:type="dxa" w:w="50"/>
              <w:left w:type="dxa" w:w="90"/>
              <w:bottom w:type="dxa" w:w="50"/>
              <w:right w:type="dxa" w:w="90"/>
            </w:tcMar>
            <w:vAlign w:val="center"/>
          </w:tcPr>
          <w:p>
            <w:pPr>
              <w:spacing w:after="0" w:line="240"/>
            </w:pPr>
            <w:r>
              <w:rPr>
                <w:b/>
                <w:bCs/>
                <w:color w:val="FFFFFF"/>
                <w:sz w:val="18"/>
                <w:szCs w:val="18"/>
              </w:rPr>
              <w:t xml:space="preserve">Format</w:t>
            </w:r>
          </w:p>
        </w:tc>
        <w:tc>
          <w:tcPr>
            <w:tcW w:type="dxa" w:w="5738"/>
            <w:shd w:fill="1F3864" w:val="clear"/>
            <w:tcMar>
              <w:top w:type="dxa" w:w="50"/>
              <w:left w:type="dxa" w:w="90"/>
              <w:bottom w:type="dxa" w:w="50"/>
              <w:right w:type="dxa" w:w="90"/>
            </w:tcMar>
            <w:vAlign w:val="center"/>
          </w:tcPr>
          <w:p>
            <w:pPr>
              <w:spacing w:after="0" w:line="240"/>
            </w:pPr>
            <w:r>
              <w:rPr>
                <w:b/>
                <w:bCs/>
                <w:color w:val="FFFFFF"/>
                <w:sz w:val="18"/>
                <w:szCs w:val="18"/>
              </w:rPr>
              <w:t xml:space="preserve">Traitement requis</w:t>
            </w:r>
          </w:p>
        </w:tc>
      </w:tr>
      <w:tr>
        <w:tc>
          <w:tcPr>
            <w:tcW w:type="dxa" w:w="2400"/>
            <w:tcMar>
              <w:top w:type="dxa" w:w="50"/>
              <w:left w:type="dxa" w:w="90"/>
              <w:bottom w:type="dxa" w:w="50"/>
              <w:right w:type="dxa" w:w="90"/>
            </w:tcMar>
            <w:vAlign w:val="center"/>
          </w:tcPr>
          <w:p>
            <w:pPr>
              <w:spacing w:after="0" w:line="240"/>
            </w:pPr>
            <w:r>
              <w:rPr>
                <w:sz w:val="18"/>
                <w:szCs w:val="18"/>
              </w:rPr>
              <w:t xml:space="preserve">Saxo Positions</w:t>
            </w:r>
          </w:p>
        </w:tc>
        <w:tc>
          <w:tcPr>
            <w:tcW w:type="dxa" w:w="1500"/>
            <w:tcMar>
              <w:top w:type="dxa" w:w="50"/>
              <w:left w:type="dxa" w:w="90"/>
              <w:bottom w:type="dxa" w:w="50"/>
              <w:right w:type="dxa" w:w="90"/>
            </w:tcMar>
            <w:vAlign w:val="center"/>
          </w:tcPr>
          <w:p>
            <w:pPr>
              <w:spacing w:after="0" w:line="240"/>
            </w:pPr>
            <w:r>
              <w:rPr>
                <w:sz w:val="18"/>
                <w:szCs w:val="18"/>
              </w:rPr>
              <w:t xml:space="preserve">XLSX</w:t>
            </w:r>
          </w:p>
        </w:tc>
        <w:tc>
          <w:tcPr>
            <w:tcW w:type="dxa" w:w="5738"/>
            <w:tcMar>
              <w:top w:type="dxa" w:w="50"/>
              <w:left w:type="dxa" w:w="90"/>
              <w:bottom w:type="dxa" w:w="50"/>
              <w:right w:type="dxa" w:w="90"/>
            </w:tcMar>
            <w:vAlign w:val="center"/>
          </w:tcPr>
          <w:p>
            <w:pPr>
              <w:spacing w:after="0" w:line="240"/>
            </w:pPr>
            <w:r>
              <w:rPr>
                <w:sz w:val="18"/>
                <w:szCs w:val="18"/>
              </w:rPr>
              <w:t xml:space="preserve">Instrument, sens, devise, quantité, prix d’entrée, prix actuel, P/L, exposition, compte, ISIN, type d’actif, date de liquidation.</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Saxo Transactions / Opérations</w:t>
            </w:r>
          </w:p>
        </w:tc>
        <w:tc>
          <w:tcPr>
            <w:tcW w:type="dxa" w:w="1500"/>
            <w:shd w:fill="F7F9FC" w:val="clear"/>
            <w:tcMar>
              <w:top w:type="dxa" w:w="50"/>
              <w:left w:type="dxa" w:w="90"/>
              <w:bottom w:type="dxa" w:w="50"/>
              <w:right w:type="dxa" w:w="90"/>
            </w:tcMar>
            <w:vAlign w:val="center"/>
          </w:tcPr>
          <w:p>
            <w:pPr>
              <w:spacing w:after="0" w:line="240"/>
            </w:pPr>
            <w:r>
              <w:rPr>
                <w:sz w:val="18"/>
                <w:szCs w:val="18"/>
              </w:rPr>
              <w:t xml:space="preserve">XLSX</w:t>
            </w:r>
          </w:p>
        </w:tc>
        <w:tc>
          <w:tcPr>
            <w:tcW w:type="dxa" w:w="5738"/>
            <w:shd w:fill="F7F9FC" w:val="clear"/>
            <w:tcMar>
              <w:top w:type="dxa" w:w="50"/>
              <w:left w:type="dxa" w:w="90"/>
              <w:bottom w:type="dxa" w:w="50"/>
              <w:right w:type="dxa" w:w="90"/>
            </w:tcMar>
            <w:vAlign w:val="center"/>
          </w:tcPr>
          <w:p>
            <w:pPr>
              <w:spacing w:after="0" w:line="240"/>
            </w:pPr>
            <w:r>
              <w:rPr>
                <w:sz w:val="18"/>
                <w:szCs w:val="18"/>
              </w:rPr>
              <w:t xml:space="preserve">Dates, opération, quantité, prix, montant, devise, change, coûts, P/L réalisé, ISIN, place, identifiants de transaction.</w:t>
            </w:r>
          </w:p>
        </w:tc>
      </w:tr>
      <w:tr>
        <w:tc>
          <w:tcPr>
            <w:tcW w:type="dxa" w:w="2400"/>
            <w:tcMar>
              <w:top w:type="dxa" w:w="50"/>
              <w:left w:type="dxa" w:w="90"/>
              <w:bottom w:type="dxa" w:w="50"/>
              <w:right w:type="dxa" w:w="90"/>
            </w:tcMar>
            <w:vAlign w:val="center"/>
          </w:tcPr>
          <w:p>
            <w:pPr>
              <w:spacing w:after="0" w:line="240"/>
            </w:pPr>
            <w:r>
              <w:rPr>
                <w:sz w:val="18"/>
                <w:szCs w:val="18"/>
              </w:rPr>
              <w:t xml:space="preserve">Boursobank positions</w:t>
            </w:r>
          </w:p>
        </w:tc>
        <w:tc>
          <w:tcPr>
            <w:tcW w:type="dxa" w:w="1500"/>
            <w:tcMar>
              <w:top w:type="dxa" w:w="50"/>
              <w:left w:type="dxa" w:w="90"/>
              <w:bottom w:type="dxa" w:w="50"/>
              <w:right w:type="dxa" w:w="90"/>
            </w:tcMar>
            <w:vAlign w:val="center"/>
          </w:tcPr>
          <w:p>
            <w:pPr>
              <w:spacing w:after="0" w:line="240"/>
            </w:pPr>
            <w:r>
              <w:rPr>
                <w:sz w:val="18"/>
                <w:szCs w:val="18"/>
              </w:rPr>
              <w:t xml:space="preserve">CSV</w:t>
            </w:r>
          </w:p>
        </w:tc>
        <w:tc>
          <w:tcPr>
            <w:tcW w:type="dxa" w:w="5738"/>
            <w:tcMar>
              <w:top w:type="dxa" w:w="50"/>
              <w:left w:type="dxa" w:w="90"/>
              <w:bottom w:type="dxa" w:w="50"/>
              <w:right w:type="dxa" w:w="90"/>
            </w:tcMar>
            <w:vAlign w:val="center"/>
          </w:tcPr>
          <w:p>
            <w:pPr>
              <w:spacing w:after="0" w:line="240"/>
            </w:pPr>
            <w:r>
              <w:rPr>
                <w:sz w:val="18"/>
                <w:szCs w:val="18"/>
              </w:rPr>
              <w:t xml:space="preserve">name, isin, quantity, buyingPrice, lastPrice, valorisation, variation.</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Cotations Euronext</w:t>
            </w:r>
          </w:p>
        </w:tc>
        <w:tc>
          <w:tcPr>
            <w:tcW w:type="dxa" w:w="1500"/>
            <w:shd w:fill="F7F9FC" w:val="clear"/>
            <w:tcMar>
              <w:top w:type="dxa" w:w="50"/>
              <w:left w:type="dxa" w:w="90"/>
              <w:bottom w:type="dxa" w:w="50"/>
              <w:right w:type="dxa" w:w="90"/>
            </w:tcMar>
            <w:vAlign w:val="center"/>
          </w:tcPr>
          <w:p>
            <w:pPr>
              <w:spacing w:after="0" w:line="240"/>
            </w:pPr>
            <w:r>
              <w:rPr>
                <w:sz w:val="18"/>
                <w:szCs w:val="18"/>
              </w:rPr>
              <w:t xml:space="preserve">CSV sans en-tête</w:t>
            </w:r>
          </w:p>
        </w:tc>
        <w:tc>
          <w:tcPr>
            <w:tcW w:type="dxa" w:w="5738"/>
            <w:shd w:fill="F7F9FC" w:val="clear"/>
            <w:tcMar>
              <w:top w:type="dxa" w:w="50"/>
              <w:left w:type="dxa" w:w="90"/>
              <w:bottom w:type="dxa" w:w="50"/>
              <w:right w:type="dxa" w:w="90"/>
            </w:tcMar>
            <w:vAlign w:val="center"/>
          </w:tcPr>
          <w:p>
            <w:pPr>
              <w:spacing w:after="0" w:line="240"/>
            </w:pPr>
            <w:r>
              <w:rPr>
                <w:sz w:val="18"/>
                <w:szCs w:val="18"/>
              </w:rPr>
              <w:t xml:space="preserve">ISIN, date, open, high, low, close, volume. Place et devise déduites du référentiel (§6.3).</w:t>
            </w:r>
          </w:p>
        </w:tc>
      </w:tr>
      <w:tr>
        <w:tc>
          <w:tcPr>
            <w:tcW w:type="dxa" w:w="2400"/>
            <w:tcMar>
              <w:top w:type="dxa" w:w="50"/>
              <w:left w:type="dxa" w:w="90"/>
              <w:bottom w:type="dxa" w:w="50"/>
              <w:right w:type="dxa" w:w="90"/>
            </w:tcMar>
            <w:vAlign w:val="center"/>
          </w:tcPr>
          <w:p>
            <w:pPr>
              <w:spacing w:after="0" w:line="240"/>
            </w:pPr>
            <w:r>
              <w:rPr>
                <w:sz w:val="18"/>
                <w:szCs w:val="18"/>
              </w:rPr>
              <w:t xml:space="preserve">Cotations hors Euronext (Nasdaq, NYSE, Xetra, SIX, LSE)</w:t>
            </w:r>
          </w:p>
        </w:tc>
        <w:tc>
          <w:tcPr>
            <w:tcW w:type="dxa" w:w="1500"/>
            <w:tcMar>
              <w:top w:type="dxa" w:w="50"/>
              <w:left w:type="dxa" w:w="90"/>
              <w:bottom w:type="dxa" w:w="50"/>
              <w:right w:type="dxa" w:w="90"/>
            </w:tcMar>
            <w:vAlign w:val="center"/>
          </w:tcPr>
          <w:p>
            <w:pPr>
              <w:spacing w:after="0" w:line="240"/>
            </w:pPr>
            <w:r>
              <w:rPr>
                <w:sz w:val="18"/>
                <w:szCs w:val="18"/>
              </w:rPr>
              <w:t xml:space="preserve">CSV normalisé avec en-tête</w:t>
            </w:r>
          </w:p>
        </w:tc>
        <w:tc>
          <w:tcPr>
            <w:tcW w:type="dxa" w:w="5738"/>
            <w:tcMar>
              <w:top w:type="dxa" w:w="50"/>
              <w:left w:type="dxa" w:w="90"/>
              <w:bottom w:type="dxa" w:w="50"/>
              <w:right w:type="dxa" w:w="90"/>
            </w:tcMar>
            <w:vAlign w:val="center"/>
          </w:tcPr>
          <w:p>
            <w:pPr>
              <w:spacing w:after="0" w:line="240"/>
            </w:pPr>
            <w:r>
              <w:rPr>
                <w:sz w:val="18"/>
                <w:szCs w:val="18"/>
              </w:rPr>
              <w:t xml:space="preserve">MIC, ISIN, date, devise, open, high, low, close, volume. Un fichier par place ou une colonne MIC ; aucun mélange de devises implicite (FR-232).</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Momentum Capital / Zone Bourse</w:t>
            </w:r>
          </w:p>
        </w:tc>
        <w:tc>
          <w:tcPr>
            <w:tcW w:type="dxa" w:w="1500"/>
            <w:shd w:fill="F7F9FC" w:val="clear"/>
            <w:tcMar>
              <w:top w:type="dxa" w:w="50"/>
              <w:left w:type="dxa" w:w="90"/>
              <w:bottom w:type="dxa" w:w="50"/>
              <w:right w:type="dxa" w:w="90"/>
            </w:tcMar>
            <w:vAlign w:val="center"/>
          </w:tcPr>
          <w:p>
            <w:pPr>
              <w:spacing w:after="0" w:line="240"/>
            </w:pPr>
            <w:r>
              <w:rPr>
                <w:sz w:val="18"/>
                <w:szCs w:val="18"/>
              </w:rPr>
              <w:t xml:space="preserve">DOCX</w:t>
            </w:r>
          </w:p>
        </w:tc>
        <w:tc>
          <w:tcPr>
            <w:tcW w:type="dxa" w:w="5738"/>
            <w:shd w:fill="F7F9FC" w:val="clear"/>
            <w:tcMar>
              <w:top w:type="dxa" w:w="50"/>
              <w:left w:type="dxa" w:w="90"/>
              <w:bottom w:type="dxa" w:w="50"/>
              <w:right w:type="dxa" w:w="90"/>
            </w:tcMar>
            <w:vAlign w:val="center"/>
          </w:tcPr>
          <w:p>
            <w:pPr>
              <w:spacing w:after="0" w:line="240"/>
            </w:pPr>
            <w:r>
              <w:rPr>
                <w:sz w:val="18"/>
                <w:szCs w:val="18"/>
              </w:rPr>
              <w:t xml:space="preserve">Dates, recommandations, supports, résistances, objectifs, invalidations. Premier bloc = le plus récent ; le reste = historique.</w:t>
            </w:r>
          </w:p>
        </w:tc>
      </w:tr>
      <w:tr>
        <w:tc>
          <w:tcPr>
            <w:tcW w:type="dxa" w:w="2400"/>
            <w:tcMar>
              <w:top w:type="dxa" w:w="50"/>
              <w:left w:type="dxa" w:w="90"/>
              <w:bottom w:type="dxa" w:w="50"/>
              <w:right w:type="dxa" w:w="90"/>
            </w:tcMar>
            <w:vAlign w:val="center"/>
          </w:tcPr>
          <w:p>
            <w:pPr>
              <w:spacing w:after="0" w:line="240"/>
            </w:pPr>
            <w:r>
              <w:rPr>
                <w:sz w:val="18"/>
                <w:szCs w:val="18"/>
              </w:rPr>
              <w:t xml:space="preserve">Newsletters US (IBD, Barron’s, MarketBeat, BambooSignal)</w:t>
            </w:r>
          </w:p>
        </w:tc>
        <w:tc>
          <w:tcPr>
            <w:tcW w:type="dxa" w:w="1500"/>
            <w:tcMar>
              <w:top w:type="dxa" w:w="50"/>
              <w:left w:type="dxa" w:w="90"/>
              <w:bottom w:type="dxa" w:w="50"/>
              <w:right w:type="dxa" w:w="90"/>
            </w:tcMar>
            <w:vAlign w:val="center"/>
          </w:tcPr>
          <w:p>
            <w:pPr>
              <w:spacing w:after="0" w:line="240"/>
            </w:pPr>
            <w:r>
              <w:rPr>
                <w:sz w:val="18"/>
                <w:szCs w:val="18"/>
              </w:rPr>
              <w:t xml:space="preserve">E-mail .eml / .html, ou copier-coller</w:t>
            </w:r>
          </w:p>
        </w:tc>
        <w:tc>
          <w:tcPr>
            <w:tcW w:type="dxa" w:w="5738"/>
            <w:tcMar>
              <w:top w:type="dxa" w:w="50"/>
              <w:left w:type="dxa" w:w="90"/>
              <w:bottom w:type="dxa" w:w="50"/>
              <w:right w:type="dxa" w:w="90"/>
            </w:tcMar>
            <w:vAlign w:val="center"/>
          </w:tcPr>
          <w:p>
            <w:pPr>
              <w:spacing w:after="0" w:line="240"/>
            </w:pPr>
            <w:r>
              <w:rPr>
                <w:sz w:val="18"/>
                <w:szCs w:val="18"/>
              </w:rPr>
              <w:t xml:space="preserve">Blocs datés : valeurs citées, notations propriétaires, objectifs de cours, révisions d’analystes, état de marché. Un parseur par source (§6.20).</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Captures d’ordres</w:t>
            </w:r>
          </w:p>
        </w:tc>
        <w:tc>
          <w:tcPr>
            <w:tcW w:type="dxa" w:w="1500"/>
            <w:shd w:fill="F7F9FC" w:val="clear"/>
            <w:tcMar>
              <w:top w:type="dxa" w:w="50"/>
              <w:left w:type="dxa" w:w="90"/>
              <w:bottom w:type="dxa" w:w="50"/>
              <w:right w:type="dxa" w:w="90"/>
            </w:tcMar>
            <w:vAlign w:val="center"/>
          </w:tcPr>
          <w:p>
            <w:pPr>
              <w:spacing w:after="0" w:line="240"/>
            </w:pPr>
            <w:r>
              <w:rPr>
                <w:sz w:val="18"/>
                <w:szCs w:val="18"/>
              </w:rPr>
              <w:t xml:space="preserve">PNG/JPG</w:t>
            </w:r>
          </w:p>
        </w:tc>
        <w:tc>
          <w:tcPr>
            <w:tcW w:type="dxa" w:w="5738"/>
            <w:shd w:fill="F7F9FC" w:val="clear"/>
            <w:tcMar>
              <w:top w:type="dxa" w:w="50"/>
              <w:left w:type="dxa" w:w="90"/>
              <w:bottom w:type="dxa" w:w="50"/>
              <w:right w:type="dxa" w:w="90"/>
            </w:tcMar>
            <w:vAlign w:val="center"/>
          </w:tcPr>
          <w:p>
            <w:pPr>
              <w:spacing w:after="0" w:line="240"/>
            </w:pPr>
            <w:r>
              <w:rPr>
                <w:sz w:val="18"/>
                <w:szCs w:val="18"/>
              </w:rPr>
              <w:t xml:space="preserve">Phase 2 : extraction assistée avec validation humaine obligatoire avant enregistrement.</w:t>
            </w:r>
          </w:p>
        </w:tc>
      </w:tr>
      <w:tr>
        <w:tc>
          <w:tcPr>
            <w:tcW w:type="dxa" w:w="2400"/>
            <w:tcMar>
              <w:top w:type="dxa" w:w="50"/>
              <w:left w:type="dxa" w:w="90"/>
              <w:bottom w:type="dxa" w:w="50"/>
              <w:right w:type="dxa" w:w="90"/>
            </w:tcMar>
            <w:vAlign w:val="center"/>
          </w:tcPr>
          <w:p>
            <w:pPr>
              <w:spacing w:after="0" w:line="240"/>
            </w:pPr>
            <w:r>
              <w:rPr>
                <w:sz w:val="18"/>
                <w:szCs w:val="18"/>
              </w:rPr>
              <w:t xml:space="preserve">Saisie manuelle</w:t>
            </w:r>
          </w:p>
        </w:tc>
        <w:tc>
          <w:tcPr>
            <w:tcW w:type="dxa" w:w="1500"/>
            <w:tcMar>
              <w:top w:type="dxa" w:w="50"/>
              <w:left w:type="dxa" w:w="90"/>
              <w:bottom w:type="dxa" w:w="50"/>
              <w:right w:type="dxa" w:w="90"/>
            </w:tcMar>
            <w:vAlign w:val="center"/>
          </w:tcPr>
          <w:p>
            <w:pPr>
              <w:spacing w:after="0" w:line="240"/>
            </w:pPr>
            <w:r>
              <w:rPr>
                <w:sz w:val="18"/>
                <w:szCs w:val="18"/>
              </w:rPr>
              <w:t xml:space="preserve">Interface</w:t>
            </w:r>
          </w:p>
        </w:tc>
        <w:tc>
          <w:tcPr>
            <w:tcW w:type="dxa" w:w="5738"/>
            <w:tcMar>
              <w:top w:type="dxa" w:w="50"/>
              <w:left w:type="dxa" w:w="90"/>
              <w:bottom w:type="dxa" w:w="50"/>
              <w:right w:type="dxa" w:w="90"/>
            </w:tcMar>
            <w:vAlign w:val="center"/>
          </w:tcPr>
          <w:p>
            <w:pPr>
              <w:spacing w:after="0" w:line="240"/>
            </w:pPr>
            <w:r>
              <w:rPr>
                <w:sz w:val="18"/>
                <w:szCs w:val="18"/>
              </w:rPr>
              <w:t xml:space="preserve">Correction, ajout d’une recommandation externe, saisie d’une information absente des exports.</w:t>
            </w:r>
          </w:p>
        </w:tc>
      </w:tr>
    </w:tbl>
    <w:p>
      <w:pPr>
        <w:spacing w:after="60" w:before="0" w:line="264"/>
      </w:pPr>
      <w:r>
        <w:t xml:space="preserve"> </w:t>
      </w:r>
    </w:p>
    <w:p>
      <w:pPr>
        <w:pStyle w:val="ListParagraph"/>
        <w:numPr>
          <w:ilvl w:val="0"/>
          <w:numId w:val="2"/>
        </w:numPr>
        <w:spacing w:after="60" w:line="264"/>
      </w:pPr>
      <w:r>
        <w:t xml:space="preserve">Empreinte (hash SHA-256) de chaque fichier ; un double import est détecté et refusé (REC-01, REC-33).</w:t>
      </w:r>
    </w:p>
    <w:p>
      <w:pPr>
        <w:pStyle w:val="ListParagraph"/>
        <w:numPr>
          <w:ilvl w:val="0"/>
          <w:numId w:val="2"/>
        </w:numPr>
        <w:spacing w:after="60" w:line="264"/>
      </w:pPr>
      <w:r>
        <w:t xml:space="preserve">Déduplication des transactions par courtier + compte + identifiant d’opération ; clé de secours documentée quand l’identifiant manque (date + ISIN + sens + quantité + prix).</w:t>
      </w:r>
    </w:p>
    <w:p>
      <w:pPr>
        <w:pStyle w:val="ListParagraph"/>
        <w:numPr>
          <w:ilvl w:val="0"/>
          <w:numId w:val="2"/>
        </w:numPr>
        <w:spacing w:after="60" w:line="264"/>
      </w:pPr>
      <w:r>
        <w:t xml:space="preserve">Conservation du fichier brut, du résultat normalisé, des erreurs et de la date d’import (ImportBatch).</w:t>
      </w:r>
    </w:p>
    <w:p>
      <w:pPr>
        <w:pStyle w:val="ListParagraph"/>
        <w:numPr>
          <w:ilvl w:val="0"/>
          <w:numId w:val="2"/>
        </w:numPr>
        <w:spacing w:after="60" w:line="264"/>
      </w:pPr>
      <w:r>
        <w:t xml:space="preserve">Écran de rapprochement entre positions calculées et positions déclarées par le courtier (FR-012).</w:t>
      </w:r>
    </w:p>
    <w:p>
      <w:pPr>
        <w:pStyle w:val="ListParagraph"/>
        <w:numPr>
          <w:ilvl w:val="0"/>
          <w:numId w:val="2"/>
        </w:numPr>
        <w:spacing w:after="60" w:line="264"/>
      </w:pPr>
      <w:r>
        <w:t xml:space="preserve">Score de qualité des données : complet, incomplet, incohérent, périmé.</w:t>
      </w:r>
    </w:p>
    <w:p>
      <w:pPr>
        <w:pStyle w:val="Heading2"/>
        <w:spacing w:after="120" w:before="240"/>
      </w:pPr>
      <w:r>
        <w:t xml:space="preserve">6.3 Référentiel instruments et données de marché</w:t>
      </w:r>
    </w:p>
    <w:p>
      <w:pPr>
        <w:pStyle w:val="ListParagraph"/>
        <w:numPr>
          <w:ilvl w:val="0"/>
          <w:numId w:val="2"/>
        </w:numPr>
        <w:spacing w:after="60" w:line="264"/>
      </w:pPr>
      <w:r>
        <w:t xml:space="preserve">Référentiel unique par ISIN : nom, pays de l’émetteur, secteur, éligibilité PEA, place de référence.</w:t>
      </w:r>
    </w:p>
    <w:p>
      <w:pPr>
        <w:pStyle w:val="ListParagraph"/>
        <w:numPr>
          <w:ilvl w:val="0"/>
          <w:numId w:val="2"/>
        </w:numPr>
        <w:spacing w:after="60" w:line="264"/>
      </w:pPr>
      <w:r>
        <w:t xml:space="preserve">Un instrument peut posséder plusieurs listings (ISIN × place) : ticker, code MIC, devise, horaires et liquidité propres à chaque place. Une seule place est marquée « de référence » et sert à la valorisation, aux scénarios et aux KPI ; les autres cotations ne créent jamais une seconde position (FR-231, REC-42).</w:t>
      </w:r>
    </w:p>
    <w:p>
      <w:pPr>
        <w:pStyle w:val="ListParagraph"/>
        <w:numPr>
          <w:ilvl w:val="0"/>
          <w:numId w:val="2"/>
        </w:numPr>
        <w:spacing w:after="60" w:line="264"/>
      </w:pPr>
      <w:r>
        <w:t xml:space="preserve">Historique OHLCV quotidien ≥ 12 mois pour toute valeur analysée en détail ; profondeur configurable jusqu’à 10 ans (FR-020). Les séries sont stockées par listing, dans la devise de cotation, sans conversion à l’import.</w:t>
      </w:r>
    </w:p>
    <w:p>
      <w:pPr>
        <w:pStyle w:val="ListParagraph"/>
        <w:numPr>
          <w:ilvl w:val="0"/>
          <w:numId w:val="2"/>
        </w:numPr>
        <w:spacing w:after="60" w:line="264"/>
      </w:pPr>
      <w:r>
        <w:t xml:space="preserve">Cours intraday / temps réel via adaptateur optionnel si un flux autorisé est configuré ; sinon cours différé clairement identifié (FR-021).</w:t>
      </w:r>
    </w:p>
    <w:p>
      <w:pPr>
        <w:pStyle w:val="ListParagraph"/>
        <w:numPr>
          <w:ilvl w:val="0"/>
          <w:numId w:val="2"/>
        </w:numPr>
        <w:spacing w:after="60" w:line="264"/>
      </w:pPr>
      <w:r>
        <w:t xml:space="preserve">Les jours sans cotation sur une place mais cotés sur une autre (jour férié local, demi-séance) sont des absences légitimes : elles ne déclenchent aucune anomalie et ne sont jamais comblées par report de la veille (FR-230, REC-43).</w:t>
      </w:r>
    </w:p>
    <w:p>
      <w:pPr>
        <w:pStyle w:val="ListParagraph"/>
        <w:numPr>
          <w:ilvl w:val="0"/>
          <w:numId w:val="2"/>
        </w:numPr>
        <w:spacing w:after="60" w:line="264"/>
      </w:pPr>
      <w:r>
        <w:t xml:space="preserve">Taux de change historisés pour la valorisation multi-devises et la séparation P/L titre / P/L change (FR-233, §7.8). Un taux manquant est remplacé par le dernier taux connu, marqué « estimé » ; aucun taux n’est inventé.</w:t>
      </w:r>
    </w:p>
    <w:p>
      <w:pPr>
        <w:pStyle w:val="ListParagraph"/>
        <w:numPr>
          <w:ilvl w:val="0"/>
          <w:numId w:val="2"/>
        </w:numPr>
        <w:spacing w:after="60" w:line="264"/>
      </w:pPr>
      <w:r>
        <w:t xml:space="preserve">Événements : résultats, dividendes, détachements, splits, actions gratuites, changement d’ISIN, OPA, liquidation SRD.</w:t>
      </w:r>
    </w:p>
    <w:p>
      <w:pPr>
        <w:pStyle w:val="ListParagraph"/>
        <w:numPr>
          <w:ilvl w:val="0"/>
          <w:numId w:val="2"/>
        </w:numPr>
        <w:spacing w:after="60" w:line="264"/>
      </w:pPr>
      <w:r>
        <w:t xml:space="preserve">Hiérarchie de sources configurable : courtier &gt; bourse officielle &gt; fournisseur secondaire &gt; saisie manuelle.</w:t>
      </w:r>
    </w:p>
    <w:p>
      <w:pPr>
        <w:pStyle w:val="Heading2"/>
        <w:spacing w:after="120" w:before="240"/>
      </w:pPr>
      <w:r>
        <w:t xml:space="preserve">6.4 Portefeuille consolidé et journal de positions</w:t>
      </w:r>
    </w:p>
    <w:p>
      <w:pPr>
        <w:pStyle w:val="ListParagraph"/>
        <w:numPr>
          <w:ilvl w:val="0"/>
          <w:numId w:val="2"/>
        </w:numPr>
        <w:spacing w:after="60" w:line="264"/>
      </w:pPr>
      <w:r>
        <w:t xml:space="preserve">Vue par compte et vue consolidée : exposition brute, nette, cash, secteurs, marchés, devises.</w:t>
      </w:r>
    </w:p>
    <w:p>
      <w:pPr>
        <w:pStyle w:val="ListParagraph"/>
        <w:numPr>
          <w:ilvl w:val="0"/>
          <w:numId w:val="2"/>
        </w:numPr>
        <w:spacing w:after="60" w:line="264"/>
      </w:pPr>
      <w:r>
        <w:t xml:space="preserve">Reconstruction des positions depuis les transactions et OST, avec snapshots journaliers (FR-030, FR-031).</w:t>
      </w:r>
    </w:p>
    <w:p>
      <w:pPr>
        <w:pStyle w:val="ListParagraph"/>
        <w:numPr>
          <w:ilvl w:val="0"/>
          <w:numId w:val="2"/>
        </w:numPr>
        <w:spacing w:after="60" w:line="264"/>
      </w:pPr>
      <w:r>
        <w:t xml:space="preserve">Distinction : quantité détenue, quantité réservée par des ordres, quantité protégée par stop, quantité non protégée.</w:t>
      </w:r>
    </w:p>
    <w:p>
      <w:pPr>
        <w:pStyle w:val="ListParagraph"/>
        <w:numPr>
          <w:ilvl w:val="0"/>
          <w:numId w:val="2"/>
        </w:numPr>
        <w:spacing w:after="60" w:line="264"/>
      </w:pPr>
      <w:r>
        <w:t xml:space="preserve">Détection des doubles expositions sur le même ISIN entre PEA et CTO.</w:t>
      </w:r>
    </w:p>
    <w:p>
      <w:pPr>
        <w:pStyle w:val="ListParagraph"/>
        <w:numPr>
          <w:ilvl w:val="0"/>
          <w:numId w:val="2"/>
        </w:numPr>
        <w:spacing w:after="60" w:line="264"/>
      </w:pPr>
      <w:r>
        <w:t xml:space="preserve">Affichage : PRU courtier, PRU normalisé, P/L latent, P/L réalisé, dividendes, frais, effet de change.</w:t>
      </w:r>
    </w:p>
    <w:p>
      <w:pPr>
        <w:pStyle w:val="ListParagraph"/>
        <w:numPr>
          <w:ilvl w:val="0"/>
          <w:numId w:val="2"/>
        </w:numPr>
        <w:spacing w:after="60" w:line="264"/>
      </w:pPr>
      <w:r>
        <w:t xml:space="preserve">Historique des stops avec règle « ne jamais baisser » ; toute exception exige une justification historisée.</w:t>
      </w:r>
    </w:p>
    <w:p>
      <w:pPr>
        <w:pStyle w:val="Heading2"/>
        <w:spacing w:after="120" w:before="240"/>
      </w:pPr>
      <w:r>
        <w:t xml:space="preserve">6.5 Recommandations, scénarios et machine d’états</w:t>
      </w:r>
    </w:p>
    <w:p>
      <w:pPr>
        <w:spacing w:after="100" w:before="0" w:line="264"/>
      </w:pPr>
      <w:r>
        <w:t xml:space="preserve">Chaque recommandation est un objet immuable après publication. Toute correction crée une nouvelle version liée à l’original, afin de préserver la réalité de l’information disponible au moment de la décision (FR-040).</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7338"/>
      </w:tblGrid>
      <w:tr>
        <w:trPr>
          <w:tblHeader/>
        </w:trPr>
        <w:tc>
          <w:tcPr>
            <w:tcW w:type="dxa" w:w="2300"/>
            <w:shd w:fill="1F3864" w:val="clear"/>
            <w:tcMar>
              <w:top w:type="dxa" w:w="50"/>
              <w:left w:type="dxa" w:w="90"/>
              <w:bottom w:type="dxa" w:w="50"/>
              <w:right w:type="dxa" w:w="90"/>
            </w:tcMar>
            <w:vAlign w:val="center"/>
          </w:tcPr>
          <w:p>
            <w:pPr>
              <w:spacing w:after="0" w:line="240"/>
            </w:pPr>
            <w:r>
              <w:rPr>
                <w:b/>
                <w:bCs/>
                <w:color w:val="FFFFFF"/>
                <w:sz w:val="18"/>
                <w:szCs w:val="18"/>
              </w:rPr>
              <w:t xml:space="preserve">Champ obligatoire</w:t>
            </w:r>
          </w:p>
        </w:tc>
        <w:tc>
          <w:tcPr>
            <w:tcW w:type="dxa" w:w="7338"/>
            <w:shd w:fill="1F3864" w:val="clear"/>
            <w:tcMar>
              <w:top w:type="dxa" w:w="50"/>
              <w:left w:type="dxa" w:w="90"/>
              <w:bottom w:type="dxa" w:w="50"/>
              <w:right w:type="dxa" w:w="90"/>
            </w:tcMar>
            <w:vAlign w:val="center"/>
          </w:tcPr>
          <w:p>
            <w:pPr>
              <w:spacing w:after="0" w:line="240"/>
            </w:pPr>
            <w:r>
              <w:rPr>
                <w:b/>
                <w:bCs/>
                <w:color w:val="FFFFFF"/>
                <w:sz w:val="18"/>
                <w:szCs w:val="18"/>
              </w:rPr>
              <w:t xml:space="preserve">Description</w:t>
            </w:r>
          </w:p>
        </w:tc>
      </w:tr>
      <w:tr>
        <w:tc>
          <w:tcPr>
            <w:tcW w:type="dxa" w:w="2300"/>
            <w:tcMar>
              <w:top w:type="dxa" w:w="50"/>
              <w:left w:type="dxa" w:w="90"/>
              <w:bottom w:type="dxa" w:w="50"/>
              <w:right w:type="dxa" w:w="90"/>
            </w:tcMar>
            <w:vAlign w:val="center"/>
          </w:tcPr>
          <w:p>
            <w:pPr>
              <w:spacing w:after="0" w:line="240"/>
            </w:pPr>
            <w:r>
              <w:rPr>
                <w:sz w:val="18"/>
                <w:szCs w:val="18"/>
              </w:rPr>
              <w:t xml:space="preserve">Action</w:t>
            </w:r>
          </w:p>
        </w:tc>
        <w:tc>
          <w:tcPr>
            <w:tcW w:type="dxa" w:w="7338"/>
            <w:tcMar>
              <w:top w:type="dxa" w:w="50"/>
              <w:left w:type="dxa" w:w="90"/>
              <w:bottom w:type="dxa" w:w="50"/>
              <w:right w:type="dxa" w:w="90"/>
            </w:tcMar>
            <w:vAlign w:val="center"/>
          </w:tcPr>
          <w:p>
            <w:pPr>
              <w:spacing w:after="0" w:line="240"/>
            </w:pPr>
            <w:r>
              <w:rPr>
                <w:sz w:val="18"/>
                <w:szCs w:val="18"/>
              </w:rPr>
              <w:t xml:space="preserve">BUY, WATCH, HOLD, SELL, REDUCE ou NO TRADE.</w:t>
            </w:r>
          </w:p>
        </w:tc>
      </w:tr>
      <w:tr>
        <w:tc>
          <w:tcPr>
            <w:tcW w:type="dxa" w:w="2300"/>
            <w:shd w:fill="F7F9FC" w:val="clear"/>
            <w:tcMar>
              <w:top w:type="dxa" w:w="50"/>
              <w:left w:type="dxa" w:w="90"/>
              <w:bottom w:type="dxa" w:w="50"/>
              <w:right w:type="dxa" w:w="90"/>
            </w:tcMar>
            <w:vAlign w:val="center"/>
          </w:tcPr>
          <w:p>
            <w:pPr>
              <w:spacing w:after="0" w:line="240"/>
            </w:pPr>
            <w:r>
              <w:rPr>
                <w:sz w:val="18"/>
                <w:szCs w:val="18"/>
              </w:rPr>
              <w:t xml:space="preserve">Instrument</w:t>
            </w:r>
          </w:p>
        </w:tc>
        <w:tc>
          <w:tcPr>
            <w:tcW w:type="dxa" w:w="7338"/>
            <w:shd w:fill="F7F9FC" w:val="clear"/>
            <w:tcMar>
              <w:top w:type="dxa" w:w="50"/>
              <w:left w:type="dxa" w:w="90"/>
              <w:bottom w:type="dxa" w:w="50"/>
              <w:right w:type="dxa" w:w="90"/>
            </w:tcMar>
            <w:vAlign w:val="center"/>
          </w:tcPr>
          <w:p>
            <w:pPr>
              <w:spacing w:after="0" w:line="240"/>
            </w:pPr>
            <w:r>
              <w:rPr>
                <w:sz w:val="18"/>
                <w:szCs w:val="18"/>
              </w:rPr>
              <w:t xml:space="preserve">Nom, ticker, ISIN, marché, devise.</w:t>
            </w:r>
          </w:p>
        </w:tc>
      </w:tr>
      <w:tr>
        <w:tc>
          <w:tcPr>
            <w:tcW w:type="dxa" w:w="2300"/>
            <w:tcMar>
              <w:top w:type="dxa" w:w="50"/>
              <w:left w:type="dxa" w:w="90"/>
              <w:bottom w:type="dxa" w:w="50"/>
              <w:right w:type="dxa" w:w="90"/>
            </w:tcMar>
            <w:vAlign w:val="center"/>
          </w:tcPr>
          <w:p>
            <w:pPr>
              <w:spacing w:after="0" w:line="240"/>
            </w:pPr>
            <w:r>
              <w:rPr>
                <w:sz w:val="18"/>
                <w:szCs w:val="18"/>
              </w:rPr>
              <w:t xml:space="preserve">Cours observé</w:t>
            </w:r>
          </w:p>
        </w:tc>
        <w:tc>
          <w:tcPr>
            <w:tcW w:type="dxa" w:w="7338"/>
            <w:tcMar>
              <w:top w:type="dxa" w:w="50"/>
              <w:left w:type="dxa" w:w="90"/>
              <w:bottom w:type="dxa" w:w="50"/>
              <w:right w:type="dxa" w:w="90"/>
            </w:tcMar>
            <w:vAlign w:val="center"/>
          </w:tcPr>
          <w:p>
            <w:pPr>
              <w:spacing w:after="0" w:line="240"/>
            </w:pPr>
            <w:r>
              <w:rPr>
                <w:sz w:val="18"/>
                <w:szCs w:val="18"/>
              </w:rPr>
              <w:t xml:space="preserve">Prix, source, horodatage, statut temps réel / différé.</w:t>
            </w:r>
          </w:p>
        </w:tc>
      </w:tr>
      <w:tr>
        <w:tc>
          <w:tcPr>
            <w:tcW w:type="dxa" w:w="2300"/>
            <w:shd w:fill="F7F9FC" w:val="clear"/>
            <w:tcMar>
              <w:top w:type="dxa" w:w="50"/>
              <w:left w:type="dxa" w:w="90"/>
              <w:bottom w:type="dxa" w:w="50"/>
              <w:right w:type="dxa" w:w="90"/>
            </w:tcMar>
            <w:vAlign w:val="center"/>
          </w:tcPr>
          <w:p>
            <w:pPr>
              <w:spacing w:after="0" w:line="240"/>
            </w:pPr>
            <w:r>
              <w:rPr>
                <w:sz w:val="18"/>
                <w:szCs w:val="18"/>
              </w:rPr>
              <w:t xml:space="preserve">Entrée</w:t>
            </w:r>
          </w:p>
        </w:tc>
        <w:tc>
          <w:tcPr>
            <w:tcW w:type="dxa" w:w="7338"/>
            <w:shd w:fill="F7F9FC" w:val="clear"/>
            <w:tcMar>
              <w:top w:type="dxa" w:w="50"/>
              <w:left w:type="dxa" w:w="90"/>
              <w:bottom w:type="dxa" w:w="50"/>
              <w:right w:type="dxa" w:w="90"/>
            </w:tcMar>
            <w:vAlign w:val="center"/>
          </w:tcPr>
          <w:p>
            <w:pPr>
              <w:spacing w:after="0" w:line="240"/>
            </w:pPr>
            <w:r>
              <w:rPr>
                <w:sz w:val="18"/>
                <w:szCs w:val="18"/>
              </w:rPr>
              <w:t xml:space="preserve">Zone, ordre envisagé, conditions de déclenchement, compte recommandé.</w:t>
            </w:r>
          </w:p>
        </w:tc>
      </w:tr>
      <w:tr>
        <w:tc>
          <w:tcPr>
            <w:tcW w:type="dxa" w:w="2300"/>
            <w:tcMar>
              <w:top w:type="dxa" w:w="50"/>
              <w:left w:type="dxa" w:w="90"/>
              <w:bottom w:type="dxa" w:w="50"/>
              <w:right w:type="dxa" w:w="90"/>
            </w:tcMar>
            <w:vAlign w:val="center"/>
          </w:tcPr>
          <w:p>
            <w:pPr>
              <w:spacing w:after="0" w:line="240"/>
            </w:pPr>
            <w:r>
              <w:rPr>
                <w:sz w:val="18"/>
                <w:szCs w:val="18"/>
              </w:rPr>
              <w:t xml:space="preserve">Risque</w:t>
            </w:r>
          </w:p>
        </w:tc>
        <w:tc>
          <w:tcPr>
            <w:tcW w:type="dxa" w:w="7338"/>
            <w:tcMar>
              <w:top w:type="dxa" w:w="50"/>
              <w:left w:type="dxa" w:w="90"/>
              <w:bottom w:type="dxa" w:w="50"/>
              <w:right w:type="dxa" w:w="90"/>
            </w:tcMar>
            <w:vAlign w:val="center"/>
          </w:tcPr>
          <w:p>
            <w:pPr>
              <w:spacing w:after="0" w:line="240"/>
            </w:pPr>
            <w:r>
              <w:rPr>
                <w:sz w:val="18"/>
                <w:szCs w:val="18"/>
              </w:rPr>
              <w:t xml:space="preserve">Stop, invalidation, distance, risque monétaire, grade A/B, classe faible/moyen/élevé.</w:t>
            </w:r>
          </w:p>
        </w:tc>
      </w:tr>
      <w:tr>
        <w:tc>
          <w:tcPr>
            <w:tcW w:type="dxa" w:w="2300"/>
            <w:shd w:fill="F7F9FC" w:val="clear"/>
            <w:tcMar>
              <w:top w:type="dxa" w:w="50"/>
              <w:left w:type="dxa" w:w="90"/>
              <w:bottom w:type="dxa" w:w="50"/>
              <w:right w:type="dxa" w:w="90"/>
            </w:tcMar>
            <w:vAlign w:val="center"/>
          </w:tcPr>
          <w:p>
            <w:pPr>
              <w:spacing w:after="0" w:line="240"/>
            </w:pPr>
            <w:r>
              <w:rPr>
                <w:sz w:val="18"/>
                <w:szCs w:val="18"/>
              </w:rPr>
              <w:t xml:space="preserve">Objectifs</w:t>
            </w:r>
          </w:p>
        </w:tc>
        <w:tc>
          <w:tcPr>
            <w:tcW w:type="dxa" w:w="7338"/>
            <w:shd w:fill="F7F9FC" w:val="clear"/>
            <w:tcMar>
              <w:top w:type="dxa" w:w="50"/>
              <w:left w:type="dxa" w:w="90"/>
              <w:bottom w:type="dxa" w:w="50"/>
              <w:right w:type="dxa" w:w="90"/>
            </w:tcMar>
            <w:vAlign w:val="center"/>
          </w:tcPr>
          <w:p>
            <w:pPr>
              <w:spacing w:after="0" w:line="240"/>
            </w:pPr>
            <w:r>
              <w:rPr>
                <w:sz w:val="18"/>
                <w:szCs w:val="18"/>
              </w:rPr>
              <w:t xml:space="preserve">Objectifs 1 à n, plan d’allègement, règle de remontée du stop.</w:t>
            </w:r>
          </w:p>
        </w:tc>
      </w:tr>
      <w:tr>
        <w:tc>
          <w:tcPr>
            <w:tcW w:type="dxa" w:w="2300"/>
            <w:tcMar>
              <w:top w:type="dxa" w:w="50"/>
              <w:left w:type="dxa" w:w="90"/>
              <w:bottom w:type="dxa" w:w="50"/>
              <w:right w:type="dxa" w:w="90"/>
            </w:tcMar>
            <w:vAlign w:val="center"/>
          </w:tcPr>
          <w:p>
            <w:pPr>
              <w:spacing w:after="0" w:line="240"/>
            </w:pPr>
            <w:r>
              <w:rPr>
                <w:sz w:val="18"/>
                <w:szCs w:val="18"/>
              </w:rPr>
              <w:t xml:space="preserve">Horizon</w:t>
            </w:r>
          </w:p>
        </w:tc>
        <w:tc>
          <w:tcPr>
            <w:tcW w:type="dxa" w:w="7338"/>
            <w:tcMar>
              <w:top w:type="dxa" w:w="50"/>
              <w:left w:type="dxa" w:w="90"/>
              <w:bottom w:type="dxa" w:w="50"/>
              <w:right w:type="dxa" w:w="90"/>
            </w:tcMar>
            <w:vAlign w:val="center"/>
          </w:tcPr>
          <w:p>
            <w:pPr>
              <w:spacing w:after="0" w:line="240"/>
            </w:pPr>
            <w:r>
              <w:rPr>
                <w:sz w:val="18"/>
                <w:szCs w:val="18"/>
              </w:rPr>
              <w:t xml:space="preserve">Intraday, quelques jours, swing 2–6 semaines, moyen terme.</w:t>
            </w:r>
          </w:p>
        </w:tc>
      </w:tr>
      <w:tr>
        <w:tc>
          <w:tcPr>
            <w:tcW w:type="dxa" w:w="2300"/>
            <w:shd w:fill="F7F9FC" w:val="clear"/>
            <w:tcMar>
              <w:top w:type="dxa" w:w="50"/>
              <w:left w:type="dxa" w:w="90"/>
              <w:bottom w:type="dxa" w:w="50"/>
              <w:right w:type="dxa" w:w="90"/>
            </w:tcMar>
            <w:vAlign w:val="center"/>
          </w:tcPr>
          <w:p>
            <w:pPr>
              <w:spacing w:after="0" w:line="240"/>
            </w:pPr>
            <w:r>
              <w:rPr>
                <w:sz w:val="18"/>
                <w:szCs w:val="18"/>
              </w:rPr>
              <w:t xml:space="preserve">Score</w:t>
            </w:r>
          </w:p>
        </w:tc>
        <w:tc>
          <w:tcPr>
            <w:tcW w:type="dxa" w:w="7338"/>
            <w:shd w:fill="F7F9FC" w:val="clear"/>
            <w:tcMar>
              <w:top w:type="dxa" w:w="50"/>
              <w:left w:type="dxa" w:w="90"/>
              <w:bottom w:type="dxa" w:w="50"/>
              <w:right w:type="dxa" w:w="90"/>
            </w:tcMar>
            <w:vAlign w:val="center"/>
          </w:tcPr>
          <w:p>
            <w:pPr>
              <w:spacing w:after="0" w:line="240"/>
            </w:pPr>
            <w:r>
              <w:rPr>
                <w:sz w:val="18"/>
                <w:szCs w:val="18"/>
              </w:rPr>
              <w:t xml:space="preserve">Détail des cinq composantes et total sur 100 (§7.1).</w:t>
            </w:r>
          </w:p>
        </w:tc>
      </w:tr>
      <w:tr>
        <w:tc>
          <w:tcPr>
            <w:tcW w:type="dxa" w:w="2300"/>
            <w:tcMar>
              <w:top w:type="dxa" w:w="50"/>
              <w:left w:type="dxa" w:w="90"/>
              <w:bottom w:type="dxa" w:w="50"/>
              <w:right w:type="dxa" w:w="90"/>
            </w:tcMar>
            <w:vAlign w:val="center"/>
          </w:tcPr>
          <w:p>
            <w:pPr>
              <w:spacing w:after="0" w:line="240"/>
            </w:pPr>
            <w:r>
              <w:rPr>
                <w:sz w:val="18"/>
                <w:szCs w:val="18"/>
              </w:rPr>
              <w:t xml:space="preserve">Taille</w:t>
            </w:r>
          </w:p>
        </w:tc>
        <w:tc>
          <w:tcPr>
            <w:tcW w:type="dxa" w:w="7338"/>
            <w:tcMar>
              <w:top w:type="dxa" w:w="50"/>
              <w:left w:type="dxa" w:w="90"/>
              <w:bottom w:type="dxa" w:w="50"/>
              <w:right w:type="dxa" w:w="90"/>
            </w:tcMar>
            <w:vAlign w:val="center"/>
          </w:tcPr>
          <w:p>
            <w:pPr>
              <w:spacing w:after="0" w:line="240"/>
            </w:pPr>
            <w:r>
              <w:rPr>
                <w:sz w:val="18"/>
                <w:szCs w:val="18"/>
              </w:rPr>
              <w:t xml:space="preserve">Montant, nombre de titres, exposition, usage éventuel du cash exceptionnel (autorisation requise).</w:t>
            </w:r>
          </w:p>
        </w:tc>
      </w:tr>
      <w:tr>
        <w:tc>
          <w:tcPr>
            <w:tcW w:type="dxa" w:w="2300"/>
            <w:shd w:fill="F7F9FC" w:val="clear"/>
            <w:tcMar>
              <w:top w:type="dxa" w:w="50"/>
              <w:left w:type="dxa" w:w="90"/>
              <w:bottom w:type="dxa" w:w="50"/>
              <w:right w:type="dxa" w:w="90"/>
            </w:tcMar>
            <w:vAlign w:val="center"/>
          </w:tcPr>
          <w:p>
            <w:pPr>
              <w:spacing w:after="0" w:line="240"/>
            </w:pPr>
            <w:r>
              <w:rPr>
                <w:sz w:val="18"/>
                <w:szCs w:val="18"/>
              </w:rPr>
              <w:t xml:space="preserve">Justification</w:t>
            </w:r>
          </w:p>
        </w:tc>
        <w:tc>
          <w:tcPr>
            <w:tcW w:type="dxa" w:w="7338"/>
            <w:shd w:fill="F7F9FC" w:val="clear"/>
            <w:tcMar>
              <w:top w:type="dxa" w:w="50"/>
              <w:left w:type="dxa" w:w="90"/>
              <w:bottom w:type="dxa" w:w="50"/>
              <w:right w:type="dxa" w:w="90"/>
            </w:tcMar>
            <w:vAlign w:val="center"/>
          </w:tcPr>
          <w:p>
            <w:pPr>
              <w:spacing w:after="0" w:line="240"/>
            </w:pPr>
            <w:r>
              <w:rPr>
                <w:sz w:val="18"/>
                <w:szCs w:val="18"/>
              </w:rPr>
              <w:t xml:space="preserve">Faits, sources, analyse, opinion, incertitudes, conditions d’invalidation.</w:t>
            </w:r>
          </w:p>
        </w:tc>
      </w:tr>
      <w:tr>
        <w:tc>
          <w:tcPr>
            <w:tcW w:type="dxa" w:w="2300"/>
            <w:tcMar>
              <w:top w:type="dxa" w:w="50"/>
              <w:left w:type="dxa" w:w="90"/>
              <w:bottom w:type="dxa" w:w="50"/>
              <w:right w:type="dxa" w:w="90"/>
            </w:tcMar>
            <w:vAlign w:val="center"/>
          </w:tcPr>
          <w:p>
            <w:pPr>
              <w:spacing w:after="0" w:line="240"/>
            </w:pPr>
            <w:r>
              <w:rPr>
                <w:sz w:val="18"/>
                <w:szCs w:val="18"/>
              </w:rPr>
              <w:t xml:space="preserve">Contexte</w:t>
            </w:r>
          </w:p>
        </w:tc>
        <w:tc>
          <w:tcPr>
            <w:tcW w:type="dxa" w:w="7338"/>
            <w:tcMar>
              <w:top w:type="dxa" w:w="50"/>
              <w:left w:type="dxa" w:w="90"/>
              <w:bottom w:type="dxa" w:w="50"/>
              <w:right w:type="dxa" w:w="90"/>
            </w:tcMar>
            <w:vAlign w:val="center"/>
          </w:tcPr>
          <w:p>
            <w:pPr>
              <w:spacing w:after="0" w:line="240"/>
            </w:pPr>
            <w:r>
              <w:rPr>
                <w:sz w:val="18"/>
                <w:szCs w:val="18"/>
              </w:rPr>
              <w:t xml:space="preserve">Version de stratégie, snapshot de données, agenda, positions existantes.</w:t>
            </w:r>
          </w:p>
        </w:tc>
      </w:tr>
    </w:tbl>
    <w:p>
      <w:pPr>
        <w:spacing w:after="60" w:before="0" w:line="264"/>
      </w:pPr>
      <w:r>
        <w:t xml:space="preserve"> </w:t>
      </w:r>
    </w:p>
    <w:p>
      <w:pPr>
        <w:spacing w:after="100" w:before="0" w:line="264"/>
      </w:pPr>
      <w:r>
        <w:rPr>
          <w:b/>
          <w:bCs/>
        </w:rPr>
        <w:t xml:space="preserve">Machine d’états d’un scénario de trade</w:t>
      </w:r>
      <w:r>
        <w:t xml:space="preserve"> — un scénario peut être techniquement valide mais rester non armé tant que ses gates ne sont pas satisfaits (§6.8) :</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700"/>
        <w:gridCol w:w="4438"/>
      </w:tblGrid>
      <w:tr>
        <w:trPr>
          <w:tblHeader/>
        </w:trPr>
        <w:tc>
          <w:tcPr>
            <w:tcW w:type="dxa" w:w="1500"/>
            <w:shd w:fill="1F3864" w:val="clear"/>
            <w:tcMar>
              <w:top w:type="dxa" w:w="50"/>
              <w:left w:type="dxa" w:w="90"/>
              <w:bottom w:type="dxa" w:w="50"/>
              <w:right w:type="dxa" w:w="90"/>
            </w:tcMar>
            <w:vAlign w:val="center"/>
          </w:tcPr>
          <w:p>
            <w:pPr>
              <w:spacing w:after="0" w:line="240"/>
            </w:pPr>
            <w:r>
              <w:rPr>
                <w:b/>
                <w:bCs/>
                <w:color w:val="FFFFFF"/>
                <w:sz w:val="18"/>
                <w:szCs w:val="18"/>
              </w:rPr>
              <w:t xml:space="preserve">État</w:t>
            </w:r>
          </w:p>
        </w:tc>
        <w:tc>
          <w:tcPr>
            <w:tcW w:type="dxa" w:w="3700"/>
            <w:shd w:fill="1F3864" w:val="clear"/>
            <w:tcMar>
              <w:top w:type="dxa" w:w="50"/>
              <w:left w:type="dxa" w:w="90"/>
              <w:bottom w:type="dxa" w:w="50"/>
              <w:right w:type="dxa" w:w="90"/>
            </w:tcMar>
            <w:vAlign w:val="center"/>
          </w:tcPr>
          <w:p>
            <w:pPr>
              <w:spacing w:after="0" w:line="240"/>
            </w:pPr>
            <w:r>
              <w:rPr>
                <w:b/>
                <w:bCs/>
                <w:color w:val="FFFFFF"/>
                <w:sz w:val="18"/>
                <w:szCs w:val="18"/>
              </w:rPr>
              <w:t xml:space="preserve">Description</w:t>
            </w:r>
          </w:p>
        </w:tc>
        <w:tc>
          <w:tcPr>
            <w:tcW w:type="dxa" w:w="4438"/>
            <w:shd w:fill="1F3864" w:val="clear"/>
            <w:tcMar>
              <w:top w:type="dxa" w:w="50"/>
              <w:left w:type="dxa" w:w="90"/>
              <w:bottom w:type="dxa" w:w="50"/>
              <w:right w:type="dxa" w:w="90"/>
            </w:tcMar>
            <w:vAlign w:val="center"/>
          </w:tcPr>
          <w:p>
            <w:pPr>
              <w:spacing w:after="0" w:line="240"/>
            </w:pPr>
            <w:r>
              <w:rPr>
                <w:b/>
                <w:bCs/>
                <w:color w:val="FFFFFF"/>
                <w:sz w:val="18"/>
                <w:szCs w:val="18"/>
              </w:rPr>
              <w:t xml:space="preserve">Transitions autorisées</w:t>
            </w:r>
          </w:p>
        </w:tc>
      </w:tr>
      <w:tr>
        <w:tc>
          <w:tcPr>
            <w:tcW w:type="dxa" w:w="1500"/>
            <w:tcMar>
              <w:top w:type="dxa" w:w="50"/>
              <w:left w:type="dxa" w:w="90"/>
              <w:bottom w:type="dxa" w:w="50"/>
              <w:right w:type="dxa" w:w="90"/>
            </w:tcMar>
            <w:vAlign w:val="center"/>
          </w:tcPr>
          <w:p>
            <w:pPr>
              <w:spacing w:after="0" w:line="240"/>
            </w:pPr>
            <w:r>
              <w:rPr>
                <w:sz w:val="18"/>
                <w:szCs w:val="18"/>
              </w:rPr>
              <w:t xml:space="preserve">DRAFT</w:t>
            </w:r>
          </w:p>
        </w:tc>
        <w:tc>
          <w:tcPr>
            <w:tcW w:type="dxa" w:w="3700"/>
            <w:tcMar>
              <w:top w:type="dxa" w:w="50"/>
              <w:left w:type="dxa" w:w="90"/>
              <w:bottom w:type="dxa" w:w="50"/>
              <w:right w:type="dxa" w:w="90"/>
            </w:tcMar>
            <w:vAlign w:val="center"/>
          </w:tcPr>
          <w:p>
            <w:pPr>
              <w:spacing w:after="0" w:line="240"/>
            </w:pPr>
            <w:r>
              <w:rPr>
                <w:sz w:val="18"/>
                <w:szCs w:val="18"/>
              </w:rPr>
              <w:t xml:space="preserve">Idée non validée.</w:t>
            </w:r>
          </w:p>
        </w:tc>
        <w:tc>
          <w:tcPr>
            <w:tcW w:type="dxa" w:w="4438"/>
            <w:tcMar>
              <w:top w:type="dxa" w:w="50"/>
              <w:left w:type="dxa" w:w="90"/>
              <w:bottom w:type="dxa" w:w="50"/>
              <w:right w:type="dxa" w:w="90"/>
            </w:tcMar>
            <w:vAlign w:val="center"/>
          </w:tcPr>
          <w:p>
            <w:pPr>
              <w:spacing w:after="0" w:line="240"/>
            </w:pPr>
            <w:r>
              <w:rPr>
                <w:sz w:val="18"/>
                <w:szCs w:val="18"/>
              </w:rPr>
              <w:t xml:space="preserve">→ QUALIFIED après scoring et données complètes.</w:t>
            </w:r>
          </w:p>
        </w:tc>
      </w:tr>
      <w:tr>
        <w:tc>
          <w:tcPr>
            <w:tcW w:type="dxa" w:w="1500"/>
            <w:shd w:fill="F7F9FC" w:val="clear"/>
            <w:tcMar>
              <w:top w:type="dxa" w:w="50"/>
              <w:left w:type="dxa" w:w="90"/>
              <w:bottom w:type="dxa" w:w="50"/>
              <w:right w:type="dxa" w:w="90"/>
            </w:tcMar>
            <w:vAlign w:val="center"/>
          </w:tcPr>
          <w:p>
            <w:pPr>
              <w:spacing w:after="0" w:line="240"/>
            </w:pPr>
            <w:r>
              <w:rPr>
                <w:sz w:val="18"/>
                <w:szCs w:val="18"/>
              </w:rPr>
              <w:t xml:space="preserve">QUALIFIED</w:t>
            </w:r>
          </w:p>
        </w:tc>
        <w:tc>
          <w:tcPr>
            <w:tcW w:type="dxa" w:w="3700"/>
            <w:shd w:fill="F7F9FC" w:val="clear"/>
            <w:tcMar>
              <w:top w:type="dxa" w:w="50"/>
              <w:left w:type="dxa" w:w="90"/>
              <w:bottom w:type="dxa" w:w="50"/>
              <w:right w:type="dxa" w:w="90"/>
            </w:tcMar>
            <w:vAlign w:val="center"/>
          </w:tcPr>
          <w:p>
            <w:pPr>
              <w:spacing w:after="0" w:line="240"/>
            </w:pPr>
            <w:r>
              <w:rPr>
                <w:sz w:val="18"/>
                <w:szCs w:val="18"/>
              </w:rPr>
              <w:t xml:space="preserve">Score et niveaux validés.</w:t>
            </w:r>
          </w:p>
        </w:tc>
        <w:tc>
          <w:tcPr>
            <w:tcW w:type="dxa" w:w="4438"/>
            <w:shd w:fill="F7F9FC" w:val="clear"/>
            <w:tcMar>
              <w:top w:type="dxa" w:w="50"/>
              <w:left w:type="dxa" w:w="90"/>
              <w:bottom w:type="dxa" w:w="50"/>
              <w:right w:type="dxa" w:w="90"/>
            </w:tcMar>
            <w:vAlign w:val="center"/>
          </w:tcPr>
          <w:p>
            <w:pPr>
              <w:spacing w:after="0" w:line="240"/>
            </w:pPr>
            <w:r>
              <w:rPr>
                <w:sz w:val="18"/>
                <w:szCs w:val="18"/>
              </w:rPr>
              <w:t xml:space="preserve">→ ARMED lorsque tous les gates sont vrais.</w:t>
            </w:r>
          </w:p>
        </w:tc>
      </w:tr>
      <w:tr>
        <w:tc>
          <w:tcPr>
            <w:tcW w:type="dxa" w:w="1500"/>
            <w:tcMar>
              <w:top w:type="dxa" w:w="50"/>
              <w:left w:type="dxa" w:w="90"/>
              <w:bottom w:type="dxa" w:w="50"/>
              <w:right w:type="dxa" w:w="90"/>
            </w:tcMar>
            <w:vAlign w:val="center"/>
          </w:tcPr>
          <w:p>
            <w:pPr>
              <w:spacing w:after="0" w:line="240"/>
            </w:pPr>
            <w:r>
              <w:rPr>
                <w:sz w:val="18"/>
                <w:szCs w:val="18"/>
              </w:rPr>
              <w:t xml:space="preserve">ARMED</w:t>
            </w:r>
          </w:p>
        </w:tc>
        <w:tc>
          <w:tcPr>
            <w:tcW w:type="dxa" w:w="3700"/>
            <w:tcMar>
              <w:top w:type="dxa" w:w="50"/>
              <w:left w:type="dxa" w:w="90"/>
              <w:bottom w:type="dxa" w:w="50"/>
              <w:right w:type="dxa" w:w="90"/>
            </w:tcMar>
            <w:vAlign w:val="center"/>
          </w:tcPr>
          <w:p>
            <w:pPr>
              <w:spacing w:after="0" w:line="240"/>
            </w:pPr>
            <w:r>
              <w:rPr>
                <w:sz w:val="18"/>
                <w:szCs w:val="18"/>
              </w:rPr>
              <w:t xml:space="preserve">Ordre potentiel exécutable manuellement.</w:t>
            </w:r>
          </w:p>
        </w:tc>
        <w:tc>
          <w:tcPr>
            <w:tcW w:type="dxa" w:w="4438"/>
            <w:tcMar>
              <w:top w:type="dxa" w:w="50"/>
              <w:left w:type="dxa" w:w="90"/>
              <w:bottom w:type="dxa" w:w="50"/>
              <w:right w:type="dxa" w:w="90"/>
            </w:tcMar>
            <w:vAlign w:val="center"/>
          </w:tcPr>
          <w:p>
            <w:pPr>
              <w:spacing w:after="0" w:line="240"/>
            </w:pPr>
            <w:r>
              <w:rPr>
                <w:sz w:val="18"/>
                <w:szCs w:val="18"/>
              </w:rPr>
              <w:t xml:space="preserve">→ EXECUTED, CANCELLED ou EXPIRED.</w:t>
            </w:r>
          </w:p>
        </w:tc>
      </w:tr>
      <w:tr>
        <w:tc>
          <w:tcPr>
            <w:tcW w:type="dxa" w:w="1500"/>
            <w:shd w:fill="F7F9FC" w:val="clear"/>
            <w:tcMar>
              <w:top w:type="dxa" w:w="50"/>
              <w:left w:type="dxa" w:w="90"/>
              <w:bottom w:type="dxa" w:w="50"/>
              <w:right w:type="dxa" w:w="90"/>
            </w:tcMar>
            <w:vAlign w:val="center"/>
          </w:tcPr>
          <w:p>
            <w:pPr>
              <w:spacing w:after="0" w:line="240"/>
            </w:pPr>
            <w:r>
              <w:rPr>
                <w:sz w:val="18"/>
                <w:szCs w:val="18"/>
              </w:rPr>
              <w:t xml:space="preserve">EXECUTED</w:t>
            </w:r>
          </w:p>
        </w:tc>
        <w:tc>
          <w:tcPr>
            <w:tcW w:type="dxa" w:w="3700"/>
            <w:shd w:fill="F7F9FC" w:val="clear"/>
            <w:tcMar>
              <w:top w:type="dxa" w:w="50"/>
              <w:left w:type="dxa" w:w="90"/>
              <w:bottom w:type="dxa" w:w="50"/>
              <w:right w:type="dxa" w:w="90"/>
            </w:tcMar>
            <w:vAlign w:val="center"/>
          </w:tcPr>
          <w:p>
            <w:pPr>
              <w:spacing w:after="0" w:line="240"/>
            </w:pPr>
            <w:r>
              <w:rPr>
                <w:sz w:val="18"/>
                <w:szCs w:val="18"/>
              </w:rPr>
              <w:t xml:space="preserve">Tranche initiale achetée.</w:t>
            </w:r>
          </w:p>
        </w:tc>
        <w:tc>
          <w:tcPr>
            <w:tcW w:type="dxa" w:w="4438"/>
            <w:shd w:fill="F7F9FC" w:val="clear"/>
            <w:tcMar>
              <w:top w:type="dxa" w:w="50"/>
              <w:left w:type="dxa" w:w="90"/>
              <w:bottom w:type="dxa" w:w="50"/>
              <w:right w:type="dxa" w:w="90"/>
            </w:tcMar>
            <w:vAlign w:val="center"/>
          </w:tcPr>
          <w:p>
            <w:pPr>
              <w:spacing w:after="0" w:line="240"/>
            </w:pPr>
            <w:r>
              <w:rPr>
                <w:sz w:val="18"/>
                <w:szCs w:val="18"/>
              </w:rPr>
              <w:t xml:space="preserve">→ PYRAMID_1, EXITED ou INVALIDATED.</w:t>
            </w:r>
          </w:p>
        </w:tc>
      </w:tr>
      <w:tr>
        <w:tc>
          <w:tcPr>
            <w:tcW w:type="dxa" w:w="1500"/>
            <w:tcMar>
              <w:top w:type="dxa" w:w="50"/>
              <w:left w:type="dxa" w:w="90"/>
              <w:bottom w:type="dxa" w:w="50"/>
              <w:right w:type="dxa" w:w="90"/>
            </w:tcMar>
            <w:vAlign w:val="center"/>
          </w:tcPr>
          <w:p>
            <w:pPr>
              <w:spacing w:after="0" w:line="240"/>
            </w:pPr>
            <w:r>
              <w:rPr>
                <w:sz w:val="18"/>
                <w:szCs w:val="18"/>
              </w:rPr>
              <w:t xml:space="preserve">PYRAMID_1</w:t>
            </w:r>
          </w:p>
        </w:tc>
        <w:tc>
          <w:tcPr>
            <w:tcW w:type="dxa" w:w="3700"/>
            <w:tcMar>
              <w:top w:type="dxa" w:w="50"/>
              <w:left w:type="dxa" w:w="90"/>
              <w:bottom w:type="dxa" w:w="50"/>
              <w:right w:type="dxa" w:w="90"/>
            </w:tcMar>
            <w:vAlign w:val="center"/>
          </w:tcPr>
          <w:p>
            <w:pPr>
              <w:spacing w:after="0" w:line="240"/>
            </w:pPr>
            <w:r>
              <w:rPr>
                <w:sz w:val="18"/>
                <w:szCs w:val="18"/>
              </w:rPr>
              <w:t xml:space="preserve">Premier renfort réalisé.</w:t>
            </w:r>
          </w:p>
        </w:tc>
        <w:tc>
          <w:tcPr>
            <w:tcW w:type="dxa" w:w="4438"/>
            <w:tcMar>
              <w:top w:type="dxa" w:w="50"/>
              <w:left w:type="dxa" w:w="90"/>
              <w:bottom w:type="dxa" w:w="50"/>
              <w:right w:type="dxa" w:w="90"/>
            </w:tcMar>
            <w:vAlign w:val="center"/>
          </w:tcPr>
          <w:p>
            <w:pPr>
              <w:spacing w:after="0" w:line="240"/>
            </w:pPr>
            <w:r>
              <w:rPr>
                <w:sz w:val="18"/>
                <w:szCs w:val="18"/>
              </w:rPr>
              <w:t xml:space="preserve">→ PYRAMID_2, EXITED ou INVALIDATED.</w:t>
            </w:r>
          </w:p>
        </w:tc>
      </w:tr>
      <w:tr>
        <w:tc>
          <w:tcPr>
            <w:tcW w:type="dxa" w:w="1500"/>
            <w:shd w:fill="F7F9FC" w:val="clear"/>
            <w:tcMar>
              <w:top w:type="dxa" w:w="50"/>
              <w:left w:type="dxa" w:w="90"/>
              <w:bottom w:type="dxa" w:w="50"/>
              <w:right w:type="dxa" w:w="90"/>
            </w:tcMar>
            <w:vAlign w:val="center"/>
          </w:tcPr>
          <w:p>
            <w:pPr>
              <w:spacing w:after="0" w:line="240"/>
            </w:pPr>
            <w:r>
              <w:rPr>
                <w:sz w:val="18"/>
                <w:szCs w:val="18"/>
              </w:rPr>
              <w:t xml:space="preserve">PYRAMID_2</w:t>
            </w:r>
          </w:p>
        </w:tc>
        <w:tc>
          <w:tcPr>
            <w:tcW w:type="dxa" w:w="3700"/>
            <w:shd w:fill="F7F9FC" w:val="clear"/>
            <w:tcMar>
              <w:top w:type="dxa" w:w="50"/>
              <w:left w:type="dxa" w:w="90"/>
              <w:bottom w:type="dxa" w:w="50"/>
              <w:right w:type="dxa" w:w="90"/>
            </w:tcMar>
            <w:vAlign w:val="center"/>
          </w:tcPr>
          <w:p>
            <w:pPr>
              <w:spacing w:after="0" w:line="240"/>
            </w:pPr>
            <w:r>
              <w:rPr>
                <w:sz w:val="18"/>
                <w:szCs w:val="18"/>
              </w:rPr>
              <w:t xml:space="preserve">Second renfort réalisé.</w:t>
            </w:r>
          </w:p>
        </w:tc>
        <w:tc>
          <w:tcPr>
            <w:tcW w:type="dxa" w:w="4438"/>
            <w:shd w:fill="F7F9FC" w:val="clear"/>
            <w:tcMar>
              <w:top w:type="dxa" w:w="50"/>
              <w:left w:type="dxa" w:w="90"/>
              <w:bottom w:type="dxa" w:w="50"/>
              <w:right w:type="dxa" w:w="90"/>
            </w:tcMar>
            <w:vAlign w:val="center"/>
          </w:tcPr>
          <w:p>
            <w:pPr>
              <w:spacing w:after="0" w:line="240"/>
            </w:pPr>
            <w:r>
              <w:rPr>
                <w:sz w:val="18"/>
                <w:szCs w:val="18"/>
              </w:rPr>
              <w:t xml:space="preserve">→ EXITED ou INVALIDATED.</w:t>
            </w:r>
          </w:p>
        </w:tc>
      </w:tr>
      <w:tr>
        <w:tc>
          <w:tcPr>
            <w:tcW w:type="dxa" w:w="1500"/>
            <w:tcMar>
              <w:top w:type="dxa" w:w="50"/>
              <w:left w:type="dxa" w:w="90"/>
              <w:bottom w:type="dxa" w:w="50"/>
              <w:right w:type="dxa" w:w="90"/>
            </w:tcMar>
            <w:vAlign w:val="center"/>
          </w:tcPr>
          <w:p>
            <w:pPr>
              <w:spacing w:after="0" w:line="240"/>
            </w:pPr>
            <w:r>
              <w:rPr>
                <w:sz w:val="18"/>
                <w:szCs w:val="18"/>
              </w:rPr>
              <w:t xml:space="preserve">EXITED</w:t>
            </w:r>
          </w:p>
        </w:tc>
        <w:tc>
          <w:tcPr>
            <w:tcW w:type="dxa" w:w="3700"/>
            <w:tcMar>
              <w:top w:type="dxa" w:w="50"/>
              <w:left w:type="dxa" w:w="90"/>
              <w:bottom w:type="dxa" w:w="50"/>
              <w:right w:type="dxa" w:w="90"/>
            </w:tcMar>
            <w:vAlign w:val="center"/>
          </w:tcPr>
          <w:p>
            <w:pPr>
              <w:spacing w:after="0" w:line="240"/>
            </w:pPr>
            <w:r>
              <w:rPr>
                <w:sz w:val="18"/>
                <w:szCs w:val="18"/>
              </w:rPr>
              <w:t xml:space="preserve">Position clôturée.</w:t>
            </w:r>
          </w:p>
        </w:tc>
        <w:tc>
          <w:tcPr>
            <w:tcW w:type="dxa" w:w="4438"/>
            <w:tcMar>
              <w:top w:type="dxa" w:w="50"/>
              <w:left w:type="dxa" w:w="90"/>
              <w:bottom w:type="dxa" w:w="50"/>
              <w:right w:type="dxa" w:w="90"/>
            </w:tcMar>
            <w:vAlign w:val="center"/>
          </w:tcPr>
          <w:p>
            <w:pPr>
              <w:spacing w:after="0" w:line="240"/>
            </w:pPr>
            <w:r>
              <w:rPr>
                <w:sz w:val="18"/>
                <w:szCs w:val="18"/>
              </w:rPr>
              <w:t xml:space="preserve">Post-mortem obligatoire.</w:t>
            </w:r>
          </w:p>
        </w:tc>
      </w:tr>
      <w:tr>
        <w:tc>
          <w:tcPr>
            <w:tcW w:type="dxa" w:w="1500"/>
            <w:shd w:fill="F7F9FC" w:val="clear"/>
            <w:tcMar>
              <w:top w:type="dxa" w:w="50"/>
              <w:left w:type="dxa" w:w="90"/>
              <w:bottom w:type="dxa" w:w="50"/>
              <w:right w:type="dxa" w:w="90"/>
            </w:tcMar>
            <w:vAlign w:val="center"/>
          </w:tcPr>
          <w:p>
            <w:pPr>
              <w:spacing w:after="0" w:line="240"/>
            </w:pPr>
            <w:r>
              <w:rPr>
                <w:sz w:val="18"/>
                <w:szCs w:val="18"/>
              </w:rPr>
              <w:t xml:space="preserve">INVALIDATED</w:t>
            </w:r>
          </w:p>
        </w:tc>
        <w:tc>
          <w:tcPr>
            <w:tcW w:type="dxa" w:w="3700"/>
            <w:shd w:fill="F7F9FC" w:val="clear"/>
            <w:tcMar>
              <w:top w:type="dxa" w:w="50"/>
              <w:left w:type="dxa" w:w="90"/>
              <w:bottom w:type="dxa" w:w="50"/>
              <w:right w:type="dxa" w:w="90"/>
            </w:tcMar>
            <w:vAlign w:val="center"/>
          </w:tcPr>
          <w:p>
            <w:pPr>
              <w:spacing w:after="0" w:line="240"/>
            </w:pPr>
            <w:r>
              <w:rPr>
                <w:sz w:val="18"/>
                <w:szCs w:val="18"/>
              </w:rPr>
              <w:t xml:space="preserve">Thèse cassée ou stop exécuté.</w:t>
            </w:r>
          </w:p>
        </w:tc>
        <w:tc>
          <w:tcPr>
            <w:tcW w:type="dxa" w:w="4438"/>
            <w:shd w:fill="F7F9FC" w:val="clear"/>
            <w:tcMar>
              <w:top w:type="dxa" w:w="50"/>
              <w:left w:type="dxa" w:w="90"/>
              <w:bottom w:type="dxa" w:w="50"/>
              <w:right w:type="dxa" w:w="90"/>
            </w:tcMar>
            <w:vAlign w:val="center"/>
          </w:tcPr>
          <w:p>
            <w:pPr>
              <w:spacing w:after="0" w:line="240"/>
            </w:pPr>
            <w:r>
              <w:rPr>
                <w:sz w:val="18"/>
                <w:szCs w:val="18"/>
              </w:rPr>
              <w:t xml:space="preserve">Post-mortem obligatoire.</w:t>
            </w:r>
          </w:p>
        </w:tc>
      </w:tr>
    </w:tbl>
    <w:p>
      <w:pPr>
        <w:pStyle w:val="Heading2"/>
        <w:spacing w:after="120" w:before="240"/>
      </w:pPr>
      <w:r>
        <w:t xml:space="preserve">6.6 Ordres, transactions et incidents courtier</w:t>
      </w:r>
    </w:p>
    <w:p>
      <w:pPr>
        <w:pStyle w:val="ListParagraph"/>
        <w:numPr>
          <w:ilvl w:val="0"/>
          <w:numId w:val="2"/>
        </w:numPr>
        <w:spacing w:after="60" w:line="264"/>
      </w:pPr>
      <w:r>
        <w:t xml:space="preserve">Distinguer ordre potentiel (OrderIntent), ordre saisi chez le courtier (BrokerOrder), ordre exécuté et transaction comptabilisée (FR-050).</w:t>
      </w:r>
    </w:p>
    <w:p>
      <w:pPr>
        <w:pStyle w:val="ListParagraph"/>
        <w:numPr>
          <w:ilvl w:val="0"/>
          <w:numId w:val="2"/>
        </w:numPr>
        <w:spacing w:after="60" w:line="264"/>
      </w:pPr>
      <w:r>
        <w:t xml:space="preserve">Types supportés : marché, limite, stop, stop-limit, stop suiveur, prise de profit, OCO, ordre SRD.</w:t>
      </w:r>
    </w:p>
    <w:p>
      <w:pPr>
        <w:pStyle w:val="ListParagraph"/>
        <w:numPr>
          <w:ilvl w:val="0"/>
          <w:numId w:val="2"/>
        </w:numPr>
        <w:spacing w:after="60" w:line="264"/>
      </w:pPr>
      <w:r>
        <w:t xml:space="preserve">Enregistrer prix limite/stop, quantité, validité, statut, identifiant courtier, lien OCO (FR-052, FR-209).</w:t>
      </w:r>
    </w:p>
    <w:p>
      <w:pPr>
        <w:pStyle w:val="ListParagraph"/>
        <w:numPr>
          <w:ilvl w:val="0"/>
          <w:numId w:val="2"/>
        </w:numPr>
        <w:spacing w:after="60" w:line="264"/>
      </w:pPr>
      <w:r>
        <w:t xml:space="preserve">Comparer scénario recommandé et exécution réelle : quantité, prix, compte, date, frais, slippage.</w:t>
      </w:r>
    </w:p>
    <w:p>
      <w:pPr>
        <w:pStyle w:val="ListParagraph"/>
        <w:numPr>
          <w:ilvl w:val="0"/>
          <w:numId w:val="2"/>
        </w:numPr>
        <w:spacing w:after="60" w:line="264"/>
      </w:pPr>
      <w:r>
        <w:t xml:space="preserve">Contrôles automatiques : ordre vendeur sans position, quantité supérieure à la position, stop couvrant une quantité incomplète, ordres incompatibles, ordre sur instrument non détenu (FR-051).</w:t>
      </w:r>
    </w:p>
    <w:p>
      <w:pPr>
        <w:pStyle w:val="ListParagraph"/>
        <w:numPr>
          <w:ilvl w:val="0"/>
          <w:numId w:val="2"/>
        </w:numPr>
        <w:spacing w:after="60" w:line="264"/>
      </w:pPr>
      <w:r>
        <w:t xml:space="preserve">Journaliser la raison d’une divergence : bug courtier, choix fiscal, conviction, cash, erreur de saisie, autre.</w:t>
      </w:r>
    </w:p>
    <w:p>
      <w:pPr>
        <w:pStyle w:val="ListParagraph"/>
        <w:numPr>
          <w:ilvl w:val="0"/>
          <w:numId w:val="2"/>
        </w:numPr>
        <w:spacing w:after="60" w:line="264"/>
      </w:pPr>
      <w:r>
        <w:t xml:space="preserve">Journal des incidents courtier : courtier, date, type, capture, contournement, compte de substitution, impact coût/risque (FR-210). Exemple de référence : achat Publicis exécuté au CTO au lieu du PEA après incident Boursobank (REC-28).</w:t>
      </w:r>
    </w:p>
    <w:p>
      <w:pPr>
        <w:pStyle w:val="Heading2"/>
        <w:spacing w:after="120" w:before="240"/>
      </w:pPr>
      <w:r>
        <w:t xml:space="preserve">6.7 Risque : grades, budgets et portfolio heat</w:t>
      </w:r>
    </w:p>
    <w:p>
      <w:pPr>
        <w:pStyle w:val="ListParagraph"/>
        <w:numPr>
          <w:ilvl w:val="0"/>
          <w:numId w:val="2"/>
        </w:numPr>
        <w:spacing w:after="60" w:line="264"/>
      </w:pPr>
      <w:r>
        <w:rPr>
          <w:b/>
          <w:bCs/>
        </w:rPr>
        <w:t xml:space="preserve">Grade B (défaut) : </w:t>
      </w:r>
      <w:r>
        <w:t xml:space="preserve">risque standard de 0,75 % du capital pilote, soit 300 € pour 40 000 €.</w:t>
      </w:r>
    </w:p>
    <w:p>
      <w:pPr>
        <w:pStyle w:val="ListParagraph"/>
        <w:numPr>
          <w:ilvl w:val="0"/>
          <w:numId w:val="2"/>
        </w:numPr>
        <w:spacing w:after="60" w:line="264"/>
      </w:pPr>
      <w:r>
        <w:rPr>
          <w:b/>
          <w:bCs/>
        </w:rPr>
        <w:t xml:space="preserve">Grade A : </w:t>
      </w:r>
      <w:r>
        <w:t xml:space="preserve">risque maximal de 1,00 % (400 €), uniquement si score ≥ 75, catalyseur clair et validation explicite horodatée (FR-203, REC-21).</w:t>
      </w:r>
    </w:p>
    <w:p>
      <w:pPr>
        <w:pStyle w:val="ListParagraph"/>
        <w:numPr>
          <w:ilvl w:val="0"/>
          <w:numId w:val="2"/>
        </w:numPr>
        <w:spacing w:after="60" w:line="264"/>
      </w:pPr>
      <w:r>
        <w:t xml:space="preserve">Le portfolio heat est la somme des pertes maximales théoriques des positions ouvertes jusqu’à leurs stops, en euros, change inclus (FR-202, formule §7.3).</w:t>
      </w:r>
    </w:p>
    <w:p>
      <w:pPr>
        <w:pStyle w:val="ListParagraph"/>
        <w:numPr>
          <w:ilvl w:val="0"/>
          <w:numId w:val="2"/>
        </w:numPr>
        <w:spacing w:after="60" w:line="264"/>
      </w:pPr>
      <w:r>
        <w:t xml:space="preserve">Le heat possède un plafond versionné par période : 1 400 € par défaut, 700 € en fenêtre no-go macro (§16).</w:t>
      </w:r>
    </w:p>
    <w:p>
      <w:pPr>
        <w:pStyle w:val="ListParagraph"/>
        <w:numPr>
          <w:ilvl w:val="0"/>
          <w:numId w:val="2"/>
        </w:numPr>
        <w:spacing w:after="60" w:line="264"/>
      </w:pPr>
      <w:r>
        <w:t xml:space="preserve">Le cash disponible n’autorise jamais une entrée à lui seul : heat, gates, concentration et calendrier sont les contraintes prioritaires.</w:t>
      </w:r>
    </w:p>
    <w:p>
      <w:pPr>
        <w:pStyle w:val="ListParagraph"/>
        <w:numPr>
          <w:ilvl w:val="0"/>
          <w:numId w:val="2"/>
        </w:numPr>
        <w:spacing w:after="60" w:line="264"/>
      </w:pPr>
      <w:r>
        <w:t xml:space="preserve">Toute dérogation au risque ou au heat exige une validation utilisateur horodatée et un motif.</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700"/>
        <w:gridCol w:w="4138"/>
      </w:tblGrid>
      <w:tr>
        <w:trPr>
          <w:tblHeader/>
        </w:trPr>
        <w:tc>
          <w:tcPr>
            <w:tcW w:type="dxa" w:w="1800"/>
            <w:shd w:fill="1F3864" w:val="clear"/>
            <w:tcMar>
              <w:top w:type="dxa" w:w="50"/>
              <w:left w:type="dxa" w:w="90"/>
              <w:bottom w:type="dxa" w:w="50"/>
              <w:right w:type="dxa" w:w="90"/>
            </w:tcMar>
            <w:vAlign w:val="center"/>
          </w:tcPr>
          <w:p>
            <w:pPr>
              <w:spacing w:after="0" w:line="240"/>
            </w:pPr>
            <w:r>
              <w:rPr>
                <w:b/>
                <w:bCs/>
                <w:color w:val="FFFFFF"/>
                <w:sz w:val="18"/>
                <w:szCs w:val="18"/>
              </w:rPr>
              <w:t xml:space="preserve">Contrôle</w:t>
            </w:r>
          </w:p>
        </w:tc>
        <w:tc>
          <w:tcPr>
            <w:tcW w:type="dxa" w:w="3700"/>
            <w:shd w:fill="1F3864" w:val="clear"/>
            <w:tcMar>
              <w:top w:type="dxa" w:w="50"/>
              <w:left w:type="dxa" w:w="90"/>
              <w:bottom w:type="dxa" w:w="50"/>
              <w:right w:type="dxa" w:w="90"/>
            </w:tcMar>
            <w:vAlign w:val="center"/>
          </w:tcPr>
          <w:p>
            <w:pPr>
              <w:spacing w:after="0" w:line="240"/>
            </w:pPr>
            <w:r>
              <w:rPr>
                <w:b/>
                <w:bCs/>
                <w:color w:val="FFFFFF"/>
                <w:sz w:val="18"/>
                <w:szCs w:val="18"/>
              </w:rPr>
              <w:t xml:space="preserve">Logique</w:t>
            </w:r>
          </w:p>
        </w:tc>
        <w:tc>
          <w:tcPr>
            <w:tcW w:type="dxa" w:w="4138"/>
            <w:shd w:fill="1F3864" w:val="clear"/>
            <w:tcMar>
              <w:top w:type="dxa" w:w="50"/>
              <w:left w:type="dxa" w:w="90"/>
              <w:bottom w:type="dxa" w:w="50"/>
              <w:right w:type="dxa" w:w="90"/>
            </w:tcMar>
            <w:vAlign w:val="center"/>
          </w:tcPr>
          <w:p>
            <w:pPr>
              <w:spacing w:after="0" w:line="240"/>
            </w:pPr>
            <w:r>
              <w:rPr>
                <w:b/>
                <w:bCs/>
                <w:color w:val="FFFFFF"/>
                <w:sz w:val="18"/>
                <w:szCs w:val="18"/>
              </w:rPr>
              <w:t xml:space="preserve">Comportement</w:t>
            </w:r>
          </w:p>
        </w:tc>
      </w:tr>
      <w:tr>
        <w:tc>
          <w:tcPr>
            <w:tcW w:type="dxa" w:w="1800"/>
            <w:tcMar>
              <w:top w:type="dxa" w:w="50"/>
              <w:left w:type="dxa" w:w="90"/>
              <w:bottom w:type="dxa" w:w="50"/>
              <w:right w:type="dxa" w:w="90"/>
            </w:tcMar>
            <w:vAlign w:val="center"/>
          </w:tcPr>
          <w:p>
            <w:pPr>
              <w:spacing w:after="0" w:line="240"/>
            </w:pPr>
            <w:r>
              <w:rPr>
                <w:sz w:val="18"/>
                <w:szCs w:val="18"/>
              </w:rPr>
              <w:t xml:space="preserve">Risque initial</w:t>
            </w:r>
          </w:p>
        </w:tc>
        <w:tc>
          <w:tcPr>
            <w:tcW w:type="dxa" w:w="3700"/>
            <w:tcMar>
              <w:top w:type="dxa" w:w="50"/>
              <w:left w:type="dxa" w:w="90"/>
              <w:bottom w:type="dxa" w:w="50"/>
              <w:right w:type="dxa" w:w="90"/>
            </w:tcMar>
            <w:vAlign w:val="center"/>
          </w:tcPr>
          <w:p>
            <w:pPr>
              <w:spacing w:after="0" w:line="240"/>
            </w:pPr>
            <w:r>
              <w:rPr>
                <w:sz w:val="18"/>
                <w:szCs w:val="18"/>
              </w:rPr>
              <w:t xml:space="preserve">(entrée − stop) × quantité × fx + frais estimés</w:t>
            </w:r>
          </w:p>
        </w:tc>
        <w:tc>
          <w:tcPr>
            <w:tcW w:type="dxa" w:w="4138"/>
            <w:tcMar>
              <w:top w:type="dxa" w:w="50"/>
              <w:left w:type="dxa" w:w="90"/>
              <w:bottom w:type="dxa" w:w="50"/>
              <w:right w:type="dxa" w:w="90"/>
            </w:tcMar>
            <w:vAlign w:val="center"/>
          </w:tcPr>
          <w:p>
            <w:pPr>
              <w:spacing w:after="0" w:line="240"/>
            </w:pPr>
            <w:r>
              <w:rPr>
                <w:sz w:val="18"/>
                <w:szCs w:val="18"/>
              </w:rPr>
              <w:t xml:space="preserve">Bloquer ou demander validation si supérieur au budget du grade (REC-22).</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Heat portefeuille</w:t>
            </w:r>
          </w:p>
        </w:tc>
        <w:tc>
          <w:tcPr>
            <w:tcW w:type="dxa" w:w="3700"/>
            <w:shd w:fill="F7F9FC" w:val="clear"/>
            <w:tcMar>
              <w:top w:type="dxa" w:w="50"/>
              <w:left w:type="dxa" w:w="90"/>
              <w:bottom w:type="dxa" w:w="50"/>
              <w:right w:type="dxa" w:w="90"/>
            </w:tcMar>
            <w:vAlign w:val="center"/>
          </w:tcPr>
          <w:p>
            <w:pPr>
              <w:spacing w:after="0" w:line="240"/>
            </w:pPr>
            <w:r>
              <w:rPr>
                <w:sz w:val="18"/>
                <w:szCs w:val="18"/>
              </w:rPr>
              <w:t xml:space="preserve">Somme des risques résiduels de toutes les lignes</w:t>
            </w:r>
          </w:p>
        </w:tc>
        <w:tc>
          <w:tcPr>
            <w:tcW w:type="dxa" w:w="4138"/>
            <w:shd w:fill="F7F9FC" w:val="clear"/>
            <w:tcMar>
              <w:top w:type="dxa" w:w="50"/>
              <w:left w:type="dxa" w:w="90"/>
              <w:bottom w:type="dxa" w:w="50"/>
              <w:right w:type="dxa" w:w="90"/>
            </w:tcMar>
            <w:vAlign w:val="center"/>
          </w:tcPr>
          <w:p>
            <w:pPr>
              <w:spacing w:after="0" w:line="240"/>
            </w:pPr>
            <w:r>
              <w:rPr>
                <w:sz w:val="18"/>
                <w:szCs w:val="18"/>
              </w:rPr>
              <w:t xml:space="preserve">Interdire une nouvelle entrée si le plafond actif serait dépassé ; proposer une taille réduite (REC-23).</w:t>
            </w:r>
          </w:p>
        </w:tc>
      </w:tr>
      <w:tr>
        <w:tc>
          <w:tcPr>
            <w:tcW w:type="dxa" w:w="1800"/>
            <w:tcMar>
              <w:top w:type="dxa" w:w="50"/>
              <w:left w:type="dxa" w:w="90"/>
              <w:bottom w:type="dxa" w:w="50"/>
              <w:right w:type="dxa" w:w="90"/>
            </w:tcMar>
            <w:vAlign w:val="center"/>
          </w:tcPr>
          <w:p>
            <w:pPr>
              <w:spacing w:after="0" w:line="240"/>
            </w:pPr>
            <w:r>
              <w:rPr>
                <w:sz w:val="18"/>
                <w:szCs w:val="18"/>
              </w:rPr>
              <w:t xml:space="preserve">Concentration</w:t>
            </w:r>
          </w:p>
        </w:tc>
        <w:tc>
          <w:tcPr>
            <w:tcW w:type="dxa" w:w="3700"/>
            <w:tcMar>
              <w:top w:type="dxa" w:w="50"/>
              <w:left w:type="dxa" w:w="90"/>
              <w:bottom w:type="dxa" w:w="50"/>
              <w:right w:type="dxa" w:w="90"/>
            </w:tcMar>
            <w:vAlign w:val="center"/>
          </w:tcPr>
          <w:p>
            <w:pPr>
              <w:spacing w:after="0" w:line="240"/>
            </w:pPr>
            <w:r>
              <w:rPr>
                <w:sz w:val="18"/>
                <w:szCs w:val="18"/>
              </w:rPr>
              <w:t xml:space="preserve">Valeur ou risque par instrument / capital pilote</w:t>
            </w:r>
          </w:p>
        </w:tc>
        <w:tc>
          <w:tcPr>
            <w:tcW w:type="dxa" w:w="4138"/>
            <w:tcMar>
              <w:top w:type="dxa" w:w="50"/>
              <w:left w:type="dxa" w:w="90"/>
              <w:bottom w:type="dxa" w:w="50"/>
              <w:right w:type="dxa" w:w="90"/>
            </w:tcMar>
            <w:vAlign w:val="center"/>
          </w:tcPr>
          <w:p>
            <w:pPr>
              <w:spacing w:after="0" w:line="240"/>
            </w:pPr>
            <w:r>
              <w:rPr>
                <w:sz w:val="18"/>
                <w:szCs w:val="18"/>
              </w:rPr>
              <w:t xml:space="preserve">Alerte sur ligne surdimensionnée, même si le stop respecte le risque.</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Risque de gap</w:t>
            </w:r>
          </w:p>
        </w:tc>
        <w:tc>
          <w:tcPr>
            <w:tcW w:type="dxa" w:w="3700"/>
            <w:shd w:fill="F7F9FC" w:val="clear"/>
            <w:tcMar>
              <w:top w:type="dxa" w:w="50"/>
              <w:left w:type="dxa" w:w="90"/>
              <w:bottom w:type="dxa" w:w="50"/>
              <w:right w:type="dxa" w:w="90"/>
            </w:tcMar>
            <w:vAlign w:val="center"/>
          </w:tcPr>
          <w:p>
            <w:pPr>
              <w:spacing w:after="0" w:line="240"/>
            </w:pPr>
            <w:r>
              <w:rPr>
                <w:sz w:val="18"/>
                <w:szCs w:val="18"/>
              </w:rPr>
              <w:t xml:space="preserve">Perte à prix d’ouverture défavorable, stop ignoré</w:t>
            </w:r>
          </w:p>
        </w:tc>
        <w:tc>
          <w:tcPr>
            <w:tcW w:type="dxa" w:w="4138"/>
            <w:shd w:fill="F7F9FC" w:val="clear"/>
            <w:tcMar>
              <w:top w:type="dxa" w:w="50"/>
              <w:left w:type="dxa" w:w="90"/>
              <w:bottom w:type="dxa" w:w="50"/>
              <w:right w:type="dxa" w:w="90"/>
            </w:tcMar>
            <w:vAlign w:val="center"/>
          </w:tcPr>
          <w:p>
            <w:pPr>
              <w:spacing w:after="0" w:line="240"/>
            </w:pPr>
            <w:r>
              <w:rPr>
                <w:sz w:val="18"/>
                <w:szCs w:val="18"/>
              </w:rPr>
              <w:t xml:space="preserve">Stress affiché séparément ; le stop n’est jamais présenté comme garanti (FR-207, §7.4).</w:t>
            </w:r>
          </w:p>
        </w:tc>
      </w:tr>
    </w:tbl>
    <w:p>
      <w:pPr>
        <w:pStyle w:val="Heading2"/>
        <w:spacing w:after="120" w:before="240"/>
      </w:pPr>
      <w:r>
        <w:t xml:space="preserve">6.8 Gates d’entrée et fenêtres no-go</w:t>
      </w:r>
    </w:p>
    <w:p>
      <w:pPr>
        <w:spacing w:after="100" w:before="0" w:line="264"/>
      </w:pPr>
      <w:r>
        <w:t xml:space="preserve">Un gate d’indice est toujours attaché à un marché : un scénario américain n’est jamais armé par une clôture du CAC 40. L’indice de référence et la banque centrale de rattachement sont déterminés par la place de référence de l’instrument (FR-235, FR-236).</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4200"/>
        <w:gridCol w:w="2038"/>
      </w:tblGrid>
      <w:tr>
        <w:trPr>
          <w:tblHeader/>
        </w:trPr>
        <w:tc>
          <w:tcPr>
            <w:tcW w:type="dxa" w:w="3400"/>
            <w:shd w:fill="1F3864" w:val="clear"/>
            <w:tcMar>
              <w:top w:type="dxa" w:w="50"/>
              <w:left w:type="dxa" w:w="90"/>
              <w:bottom w:type="dxa" w:w="50"/>
              <w:right w:type="dxa" w:w="90"/>
            </w:tcMar>
            <w:vAlign w:val="center"/>
          </w:tcPr>
          <w:p>
            <w:pPr>
              <w:spacing w:after="0" w:line="240"/>
            </w:pPr>
            <w:r>
              <w:rPr>
                <w:b/>
                <w:bCs/>
                <w:color w:val="FFFFFF"/>
                <w:sz w:val="18"/>
                <w:szCs w:val="18"/>
              </w:rPr>
              <w:t xml:space="preserve">Marché</w:t>
            </w:r>
          </w:p>
        </w:tc>
        <w:tc>
          <w:tcPr>
            <w:tcW w:type="dxa" w:w="4200"/>
            <w:shd w:fill="1F3864" w:val="clear"/>
            <w:tcMar>
              <w:top w:type="dxa" w:w="50"/>
              <w:left w:type="dxa" w:w="90"/>
              <w:bottom w:type="dxa" w:w="50"/>
              <w:right w:type="dxa" w:w="90"/>
            </w:tcMar>
            <w:vAlign w:val="center"/>
          </w:tcPr>
          <w:p>
            <w:pPr>
              <w:spacing w:after="0" w:line="240"/>
            </w:pPr>
            <w:r>
              <w:rPr>
                <w:b/>
                <w:bCs/>
                <w:color w:val="FFFFFF"/>
                <w:sz w:val="18"/>
                <w:szCs w:val="18"/>
              </w:rPr>
              <w:t xml:space="preserve">Indice de gate par défaut</w:t>
            </w:r>
          </w:p>
        </w:tc>
        <w:tc>
          <w:tcPr>
            <w:tcW w:type="dxa" w:w="2038"/>
            <w:shd w:fill="1F3864" w:val="clear"/>
            <w:tcMar>
              <w:top w:type="dxa" w:w="50"/>
              <w:left w:type="dxa" w:w="90"/>
              <w:bottom w:type="dxa" w:w="50"/>
              <w:right w:type="dxa" w:w="90"/>
            </w:tcMar>
            <w:vAlign w:val="center"/>
          </w:tcPr>
          <w:p>
            <w:pPr>
              <w:spacing w:after="0" w:line="240"/>
            </w:pPr>
            <w:r>
              <w:rPr>
                <w:b/>
                <w:bCs/>
                <w:color w:val="FFFFFF"/>
                <w:sz w:val="18"/>
                <w:szCs w:val="18"/>
              </w:rPr>
              <w:t xml:space="preserve">Banque centrale</w:t>
            </w:r>
          </w:p>
        </w:tc>
      </w:tr>
      <w:tr>
        <w:tc>
          <w:tcPr>
            <w:tcW w:type="dxa" w:w="3400"/>
            <w:tcMar>
              <w:top w:type="dxa" w:w="50"/>
              <w:left w:type="dxa" w:w="90"/>
              <w:bottom w:type="dxa" w:w="50"/>
              <w:right w:type="dxa" w:w="90"/>
            </w:tcMar>
            <w:vAlign w:val="center"/>
          </w:tcPr>
          <w:p>
            <w:pPr>
              <w:spacing w:after="0" w:line="240"/>
            </w:pPr>
            <w:r>
              <w:rPr>
                <w:sz w:val="18"/>
                <w:szCs w:val="18"/>
              </w:rPr>
              <w:t xml:space="preserve">Euronext Paris</w:t>
            </w:r>
          </w:p>
        </w:tc>
        <w:tc>
          <w:tcPr>
            <w:tcW w:type="dxa" w:w="4200"/>
            <w:tcMar>
              <w:top w:type="dxa" w:w="50"/>
              <w:left w:type="dxa" w:w="90"/>
              <w:bottom w:type="dxa" w:w="50"/>
              <w:right w:type="dxa" w:w="90"/>
            </w:tcMar>
            <w:vAlign w:val="center"/>
          </w:tcPr>
          <w:p>
            <w:pPr>
              <w:spacing w:after="0" w:line="240"/>
            </w:pPr>
            <w:r>
              <w:rPr>
                <w:sz w:val="18"/>
                <w:szCs w:val="18"/>
              </w:rPr>
              <w:t xml:space="preserve">CAC 40</w:t>
            </w:r>
          </w:p>
        </w:tc>
        <w:tc>
          <w:tcPr>
            <w:tcW w:type="dxa" w:w="2038"/>
            <w:tcMar>
              <w:top w:type="dxa" w:w="50"/>
              <w:left w:type="dxa" w:w="90"/>
              <w:bottom w:type="dxa" w:w="50"/>
              <w:right w:type="dxa" w:w="90"/>
            </w:tcMar>
            <w:vAlign w:val="center"/>
          </w:tcPr>
          <w:p>
            <w:pPr>
              <w:spacing w:after="0" w:line="240"/>
            </w:pPr>
            <w:r>
              <w:rPr>
                <w:sz w:val="18"/>
                <w:szCs w:val="18"/>
              </w:rPr>
              <w:t xml:space="preserve">BCE</w:t>
            </w:r>
          </w:p>
        </w:tc>
      </w:tr>
      <w:tr>
        <w:tc>
          <w:tcPr>
            <w:tcW w:type="dxa" w:w="3400"/>
            <w:shd w:fill="F7F9FC" w:val="clear"/>
            <w:tcMar>
              <w:top w:type="dxa" w:w="50"/>
              <w:left w:type="dxa" w:w="90"/>
              <w:bottom w:type="dxa" w:w="50"/>
              <w:right w:type="dxa" w:w="90"/>
            </w:tcMar>
            <w:vAlign w:val="center"/>
          </w:tcPr>
          <w:p>
            <w:pPr>
              <w:spacing w:after="0" w:line="240"/>
            </w:pPr>
            <w:r>
              <w:rPr>
                <w:sz w:val="18"/>
                <w:szCs w:val="18"/>
              </w:rPr>
              <w:t xml:space="preserve">Zone euro hors France (Amsterdam, Bruxelles, Milan, Xetra, BME)</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STOXX Europe 600, ou DAX pour un émetteur allemand</w:t>
            </w:r>
          </w:p>
        </w:tc>
        <w:tc>
          <w:tcPr>
            <w:tcW w:type="dxa" w:w="2038"/>
            <w:shd w:fill="F7F9FC" w:val="clear"/>
            <w:tcMar>
              <w:top w:type="dxa" w:w="50"/>
              <w:left w:type="dxa" w:w="90"/>
              <w:bottom w:type="dxa" w:w="50"/>
              <w:right w:type="dxa" w:w="90"/>
            </w:tcMar>
            <w:vAlign w:val="center"/>
          </w:tcPr>
          <w:p>
            <w:pPr>
              <w:spacing w:after="0" w:line="240"/>
            </w:pPr>
            <w:r>
              <w:rPr>
                <w:sz w:val="18"/>
                <w:szCs w:val="18"/>
              </w:rPr>
              <w:t xml:space="preserve">BCE</w:t>
            </w:r>
          </w:p>
        </w:tc>
      </w:tr>
      <w:tr>
        <w:tc>
          <w:tcPr>
            <w:tcW w:type="dxa" w:w="3400"/>
            <w:tcMar>
              <w:top w:type="dxa" w:w="50"/>
              <w:left w:type="dxa" w:w="90"/>
              <w:bottom w:type="dxa" w:w="50"/>
              <w:right w:type="dxa" w:w="90"/>
            </w:tcMar>
            <w:vAlign w:val="center"/>
          </w:tcPr>
          <w:p>
            <w:pPr>
              <w:spacing w:after="0" w:line="240"/>
            </w:pPr>
            <w:r>
              <w:rPr>
                <w:sz w:val="18"/>
                <w:szCs w:val="18"/>
              </w:rPr>
              <w:t xml:space="preserve">Royaume-Uni (LSE)</w:t>
            </w:r>
          </w:p>
        </w:tc>
        <w:tc>
          <w:tcPr>
            <w:tcW w:type="dxa" w:w="4200"/>
            <w:tcMar>
              <w:top w:type="dxa" w:w="50"/>
              <w:left w:type="dxa" w:w="90"/>
              <w:bottom w:type="dxa" w:w="50"/>
              <w:right w:type="dxa" w:w="90"/>
            </w:tcMar>
            <w:vAlign w:val="center"/>
          </w:tcPr>
          <w:p>
            <w:pPr>
              <w:spacing w:after="0" w:line="240"/>
            </w:pPr>
            <w:r>
              <w:rPr>
                <w:sz w:val="18"/>
                <w:szCs w:val="18"/>
              </w:rPr>
              <w:t xml:space="preserve">FTSE 100</w:t>
            </w:r>
          </w:p>
        </w:tc>
        <w:tc>
          <w:tcPr>
            <w:tcW w:type="dxa" w:w="2038"/>
            <w:tcMar>
              <w:top w:type="dxa" w:w="50"/>
              <w:left w:type="dxa" w:w="90"/>
              <w:bottom w:type="dxa" w:w="50"/>
              <w:right w:type="dxa" w:w="90"/>
            </w:tcMar>
            <w:vAlign w:val="center"/>
          </w:tcPr>
          <w:p>
            <w:pPr>
              <w:spacing w:after="0" w:line="240"/>
            </w:pPr>
            <w:r>
              <w:rPr>
                <w:sz w:val="18"/>
                <w:szCs w:val="18"/>
              </w:rPr>
              <w:t xml:space="preserve">BoE</w:t>
            </w:r>
          </w:p>
        </w:tc>
      </w:tr>
      <w:tr>
        <w:tc>
          <w:tcPr>
            <w:tcW w:type="dxa" w:w="3400"/>
            <w:shd w:fill="F7F9FC" w:val="clear"/>
            <w:tcMar>
              <w:top w:type="dxa" w:w="50"/>
              <w:left w:type="dxa" w:w="90"/>
              <w:bottom w:type="dxa" w:w="50"/>
              <w:right w:type="dxa" w:w="90"/>
            </w:tcMar>
            <w:vAlign w:val="center"/>
          </w:tcPr>
          <w:p>
            <w:pPr>
              <w:spacing w:after="0" w:line="240"/>
            </w:pPr>
            <w:r>
              <w:rPr>
                <w:sz w:val="18"/>
                <w:szCs w:val="18"/>
              </w:rPr>
              <w:t xml:space="preserve">Suisse (SIX)</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SMI</w:t>
            </w:r>
          </w:p>
        </w:tc>
        <w:tc>
          <w:tcPr>
            <w:tcW w:type="dxa" w:w="2038"/>
            <w:shd w:fill="F7F9FC" w:val="clear"/>
            <w:tcMar>
              <w:top w:type="dxa" w:w="50"/>
              <w:left w:type="dxa" w:w="90"/>
              <w:bottom w:type="dxa" w:w="50"/>
              <w:right w:type="dxa" w:w="90"/>
            </w:tcMar>
            <w:vAlign w:val="center"/>
          </w:tcPr>
          <w:p>
            <w:pPr>
              <w:spacing w:after="0" w:line="240"/>
            </w:pPr>
            <w:r>
              <w:rPr>
                <w:sz w:val="18"/>
                <w:szCs w:val="18"/>
              </w:rPr>
              <w:t xml:space="preserve">SNB</w:t>
            </w:r>
          </w:p>
        </w:tc>
      </w:tr>
      <w:tr>
        <w:tc>
          <w:tcPr>
            <w:tcW w:type="dxa" w:w="3400"/>
            <w:tcMar>
              <w:top w:type="dxa" w:w="50"/>
              <w:left w:type="dxa" w:w="90"/>
              <w:bottom w:type="dxa" w:w="50"/>
              <w:right w:type="dxa" w:w="90"/>
            </w:tcMar>
            <w:vAlign w:val="center"/>
          </w:tcPr>
          <w:p>
            <w:pPr>
              <w:spacing w:after="0" w:line="240"/>
            </w:pPr>
            <w:r>
              <w:rPr>
                <w:sz w:val="18"/>
                <w:szCs w:val="18"/>
              </w:rPr>
              <w:t xml:space="preserve">États-Unis (Nasdaq, NYSE)</w:t>
            </w:r>
          </w:p>
        </w:tc>
        <w:tc>
          <w:tcPr>
            <w:tcW w:type="dxa" w:w="4200"/>
            <w:tcMar>
              <w:top w:type="dxa" w:w="50"/>
              <w:left w:type="dxa" w:w="90"/>
              <w:bottom w:type="dxa" w:w="50"/>
              <w:right w:type="dxa" w:w="90"/>
            </w:tcMar>
            <w:vAlign w:val="center"/>
          </w:tcPr>
          <w:p>
            <w:pPr>
              <w:spacing w:after="0" w:line="240"/>
            </w:pPr>
            <w:r>
              <w:rPr>
                <w:sz w:val="18"/>
                <w:szCs w:val="18"/>
              </w:rPr>
              <w:t xml:space="preserve">S&amp;P 500, ou Nasdaq 100 pour la technologie, cumulé à l’état de marché IBD (§6.20)</w:t>
            </w:r>
          </w:p>
        </w:tc>
        <w:tc>
          <w:tcPr>
            <w:tcW w:type="dxa" w:w="2038"/>
            <w:tcMar>
              <w:top w:type="dxa" w:w="50"/>
              <w:left w:type="dxa" w:w="90"/>
              <w:bottom w:type="dxa" w:w="50"/>
              <w:right w:type="dxa" w:w="90"/>
            </w:tcMar>
            <w:vAlign w:val="center"/>
          </w:tcPr>
          <w:p>
            <w:pPr>
              <w:spacing w:after="0" w:line="240"/>
            </w:pPr>
            <w:r>
              <w:rPr>
                <w:sz w:val="18"/>
                <w:szCs w:val="18"/>
              </w:rPr>
              <w:t xml:space="preserve">Fed</w:t>
            </w:r>
          </w:p>
        </w:tc>
      </w:tr>
    </w:tbl>
    <w:p>
      <w:pPr>
        <w:spacing w:after="60" w:before="0" w:line="264"/>
      </w:pPr>
      <w:r>
        <w:t xml:space="preserve"> </w:t>
      </w:r>
    </w:p>
    <w:p>
      <w:pPr>
        <w:pStyle w:val="ListParagraph"/>
        <w:numPr>
          <w:ilvl w:val="0"/>
          <w:numId w:val="2"/>
        </w:numPr>
        <w:spacing w:after="60" w:line="264"/>
      </w:pPr>
      <w:r>
        <w:t xml:space="preserve">Gates possibles : clôture de l’indice de marché au-dessus d’un seuil, publication bien accueillie, maintien d’un support, score minimum, heat disponible, liquidité suffisante, absence de no-go macro (FR-204).</w:t>
      </w:r>
    </w:p>
    <w:p>
      <w:pPr>
        <w:pStyle w:val="ListParagraph"/>
        <w:numPr>
          <w:ilvl w:val="0"/>
          <w:numId w:val="2"/>
        </w:numPr>
        <w:spacing w:after="60" w:line="264"/>
      </w:pPr>
      <w:r>
        <w:t xml:space="preserve">Les seuils d’indice sont versionnés avec date, source et marché ; ils ne sont jamais remplacés rétroactivement et ne sont jamais transposés d’un indice à l’autre.</w:t>
      </w:r>
    </w:p>
    <w:p>
      <w:pPr>
        <w:pStyle w:val="ListParagraph"/>
        <w:numPr>
          <w:ilvl w:val="0"/>
          <w:numId w:val="2"/>
        </w:numPr>
        <w:spacing w:after="60" w:line="264"/>
      </w:pPr>
      <w:r>
        <w:t xml:space="preserve">Fenêtres no-go par événement, marché, compte et produit (FR-205, FR-236). Une semaine comportant une décision Fed et une décision BCE produit deux fenêtres distinctes appliquées à des périmètres différents (REC-47).</w:t>
      </w:r>
    </w:p>
    <w:p>
      <w:pPr>
        <w:pStyle w:val="ListParagraph"/>
        <w:numPr>
          <w:ilvl w:val="0"/>
          <w:numId w:val="2"/>
        </w:numPr>
        <w:spacing w:after="60" w:line="264"/>
      </w:pPr>
      <w:r>
        <w:t xml:space="preserve">Défauts : FOMC et BCE = no-go SRD, toutes les positions à levier étant clôturées avant l’événement ; aucune entrée entre 14h00 heure de Paris et la clôture américaine un jour de décision Fed — règle convertie dynamiquement, jamais recopiée en heure fixe (§7.9, REC-44).</w:t>
      </w:r>
    </w:p>
    <w:p>
      <w:pPr>
        <w:pStyle w:val="ListParagraph"/>
        <w:numPr>
          <w:ilvl w:val="0"/>
          <w:numId w:val="2"/>
        </w:numPr>
        <w:spacing w:after="60" w:line="264"/>
      </w:pPr>
      <w:r>
        <w:t xml:space="preserve">Les achats avant résultats avec SRD sont interdits par défaut (risque de gap structurel) ; seule une règle explicitement approuvée peut les autoriser (REC-24).</w:t>
      </w:r>
    </w:p>
    <w:p>
      <w:pPr>
        <w:pStyle w:val="ListParagraph"/>
        <w:numPr>
          <w:ilvl w:val="0"/>
          <w:numId w:val="2"/>
        </w:numPr>
        <w:spacing w:after="60" w:line="264"/>
      </w:pPr>
      <w:r>
        <w:t xml:space="preserve">Filtre de liquidité par marché : volume quotidien moyen minimal et spread maximal paramétrables par place ; la taille d’une position ne dépasse jamais un pourcentage configurable de l’ADV. Le filtre est plus strict hors zone euro, où le carnet est moins bien connu (FR-241, REC-48).</w:t>
      </w:r>
    </w:p>
    <w:p>
      <w:pPr>
        <w:pStyle w:val="ListParagraph"/>
        <w:numPr>
          <w:ilvl w:val="0"/>
          <w:numId w:val="2"/>
        </w:numPr>
        <w:spacing w:after="60" w:line="264"/>
      </w:pPr>
      <w:r>
        <w:t xml:space="preserve">Le SRD est réservé à Euronext Paris : toute demande de levier sur un titre étranger est refusée avec motif, sans possibilité de dérogation dans le MVP (FR-244, REC-45).</w:t>
      </w:r>
    </w:p>
    <w:p>
      <w:pPr>
        <w:pStyle w:val="Heading2"/>
        <w:spacing w:after="120" w:before="240"/>
      </w:pPr>
      <w:r>
        <w:t xml:space="preserve">6.9 SRD : cycles, calendrier et décisions</w:t>
      </w:r>
    </w:p>
    <w:p>
      <w:pPr>
        <w:pStyle w:val="ListParagraph"/>
        <w:numPr>
          <w:ilvl w:val="0"/>
          <w:numId w:val="2"/>
        </w:numPr>
        <w:spacing w:after="60" w:line="264"/>
      </w:pPr>
      <w:r>
        <w:t xml:space="preserve">Gérer les dates de liquidation et de règlement-livraison par cycle SRD (FR-060, FR-206).</w:t>
      </w:r>
    </w:p>
    <w:p>
      <w:pPr>
        <w:pStyle w:val="ListParagraph"/>
        <w:numPr>
          <w:ilvl w:val="0"/>
          <w:numId w:val="2"/>
        </w:numPr>
        <w:spacing w:after="60" w:line="264"/>
      </w:pPr>
      <w:r>
        <w:t xml:space="preserve">Calculer une date de décision interne antérieure à la liquidation, configurable par instrument et courtier.</w:t>
      </w:r>
    </w:p>
    <w:p>
      <w:pPr>
        <w:pStyle w:val="ListParagraph"/>
        <w:numPr>
          <w:ilvl w:val="0"/>
          <w:numId w:val="2"/>
        </w:numPr>
        <w:spacing w:after="60" w:line="264"/>
      </w:pPr>
      <w:r>
        <w:t xml:space="preserve">Croiser automatiquement liquidation SRD, résultats, dividendes, BCE/Fed, inflation et publications majeures.</w:t>
      </w:r>
    </w:p>
    <w:p>
      <w:pPr>
        <w:pStyle w:val="ListParagraph"/>
        <w:numPr>
          <w:ilvl w:val="0"/>
          <w:numId w:val="2"/>
        </w:numPr>
        <w:spacing w:after="60" w:line="264"/>
      </w:pPr>
      <w:r>
        <w:t xml:space="preserve">Alerte critique lorsqu’une publication intervient entre la date de décision et la liquidation (le cas Edenred — H1 le lendemain de la deadline — est le scénario de référence).</w:t>
      </w:r>
    </w:p>
    <w:p>
      <w:pPr>
        <w:pStyle w:val="ListParagraph"/>
        <w:numPr>
          <w:ilvl w:val="0"/>
          <w:numId w:val="2"/>
        </w:numPr>
        <w:spacing w:after="60" w:line="264"/>
      </w:pPr>
      <w:r>
        <w:t xml:space="preserve">Interdire le roulage automatique : chaque ligne reçoit une décision CLOSE, ROLL ou REDUCE motivée.</w:t>
      </w:r>
    </w:p>
    <w:p>
      <w:pPr>
        <w:pStyle w:val="ListParagraph"/>
        <w:numPr>
          <w:ilvl w:val="0"/>
          <w:numId w:val="2"/>
        </w:numPr>
        <w:spacing w:after="60" w:line="264"/>
      </w:pPr>
      <w:r>
        <w:t xml:space="preserve">Lorsqu’un résultat intervient après la liquidation, proposer le report vers le cycle suivant au lieu de forcer une entrée prématurée.</w:t>
      </w:r>
    </w:p>
    <w:p>
      <w:pPr>
        <w:pStyle w:val="Heading2"/>
        <w:spacing w:after="120" w:before="240"/>
      </w:pPr>
      <w:r>
        <w:t xml:space="preserve">6.10 Pyramiding anti-martingale</w:t>
      </w:r>
    </w:p>
    <w:p>
      <w:pPr>
        <w:pStyle w:val="ListParagraph"/>
        <w:numPr>
          <w:ilvl w:val="0"/>
          <w:numId w:val="2"/>
        </w:numPr>
        <w:spacing w:after="60" w:line="264"/>
      </w:pPr>
      <w:r>
        <w:t xml:space="preserve">Tranche initiale : taille calculée sur le risque du stop initial (§7.2).</w:t>
      </w:r>
    </w:p>
    <w:p>
      <w:pPr>
        <w:pStyle w:val="ListParagraph"/>
        <w:numPr>
          <w:ilvl w:val="0"/>
          <w:numId w:val="2"/>
        </w:numPr>
        <w:spacing w:after="60" w:line="264"/>
      </w:pPr>
      <w:r>
        <w:t xml:space="preserve">Renfort 1 : +50 % de la quantité initiale à +1R ; le stop de l’ensemble remonte au point mort ou au niveau défini par la stratégie (REC-26).</w:t>
      </w:r>
    </w:p>
    <w:p>
      <w:pPr>
        <w:pStyle w:val="ListParagraph"/>
        <w:numPr>
          <w:ilvl w:val="0"/>
          <w:numId w:val="2"/>
        </w:numPr>
        <w:spacing w:after="60" w:line="264"/>
      </w:pPr>
      <w:r>
        <w:t xml:space="preserve">Renfort 2 : +50 % de la quantité initiale au franchissement confirmé de la première résistance Momentum ; stop remonté sous le second prix d’entrée ou le dernier creux de consolidation.</w:t>
      </w:r>
    </w:p>
    <w:p>
      <w:pPr>
        <w:pStyle w:val="ListParagraph"/>
        <w:numPr>
          <w:ilvl w:val="0"/>
          <w:numId w:val="2"/>
        </w:numPr>
        <w:spacing w:after="60" w:line="264"/>
      </w:pPr>
      <w:r>
        <w:t xml:space="preserve">Un renfort n’est jamais autorisé sur une position perdante ; le moyennage à la baisse est exclu par défaut (REC-27).</w:t>
      </w:r>
    </w:p>
    <w:p>
      <w:pPr>
        <w:pStyle w:val="ListParagraph"/>
        <w:numPr>
          <w:ilvl w:val="0"/>
          <w:numId w:val="2"/>
        </w:numPr>
        <w:spacing w:after="60" w:line="264"/>
      </w:pPr>
      <w:r>
        <w:t xml:space="preserve">Chaque tranche possède prix, quantité, stop, R courant, frais et contribution au heat (entité TradeTranche).</w:t>
      </w:r>
    </w:p>
    <w:p>
      <w:pPr>
        <w:pStyle w:val="Heading2"/>
        <w:spacing w:after="120" w:before="240"/>
      </w:pPr>
      <w:r>
        <w:t xml:space="preserve">6.11 PEA, CTO, DCA, ETF et poches protégées</w:t>
      </w:r>
    </w:p>
    <w:p>
      <w:pPr>
        <w:pStyle w:val="ListParagraph"/>
        <w:numPr>
          <w:ilvl w:val="0"/>
          <w:numId w:val="2"/>
        </w:numPr>
        <w:spacing w:after="60" w:line="264"/>
      </w:pPr>
      <w:r>
        <w:t xml:space="preserve">Routage conseillé : PEA pour les ETF éligibles et les actions de l’Espace économique européen ; CTO/Saxo pour le SRD, les titres américains, suisses et britanniques et tout instrument non éligible. L’éligibilité est calculée à partir du pays de l’émetteur, jamais de la place de cotation : une action américaine cotée en Europe reste inéligible. Un ordre PEA sur titre non éligible est bloqué et redirigé vers le CTO avec motif (FR-240, REC-40).</w:t>
      </w:r>
    </w:p>
    <w:p>
      <w:pPr>
        <w:pStyle w:val="ListParagraph"/>
        <w:numPr>
          <w:ilvl w:val="0"/>
          <w:numId w:val="2"/>
        </w:numPr>
        <w:spacing w:after="60" w:line="264"/>
      </w:pPr>
      <w:r>
        <w:t xml:space="preserve">Détection d’un achat sur le mauvais compte par rapport à la recommandation ; impact fiscal/frais calculé sans invalider l’exécution réelle.</w:t>
      </w:r>
    </w:p>
    <w:p>
      <w:pPr>
        <w:pStyle w:val="ListParagraph"/>
        <w:numPr>
          <w:ilvl w:val="0"/>
          <w:numId w:val="2"/>
        </w:numPr>
        <w:spacing w:after="60" w:line="264"/>
      </w:pPr>
      <w:r>
        <w:t xml:space="preserve">Programme DCA PEA de référence : 90 % MSCI World (WPEA) / 10 % émergents (PAEEM), montants et fréquence paramétrables (défaut §16) ; ordres recommandés après 15h30 Paris, avec contrôle des heures de marché (FR-211).</w:t>
      </w:r>
    </w:p>
    <w:p>
      <w:pPr>
        <w:pStyle w:val="ListParagraph"/>
        <w:numPr>
          <w:ilvl w:val="0"/>
          <w:numId w:val="2"/>
        </w:numPr>
        <w:spacing w:after="60" w:line="264"/>
      </w:pPr>
      <w:r>
        <w:t xml:space="preserve">Règle d’accélération : doublement des versements pendant deux échéances uniquement après drawdown confirmé ≥ 15 % depuis le sommet (formule §7.7, REC-29) ; jamais sur simple baisse journalière.</w:t>
      </w:r>
    </w:p>
    <w:p>
      <w:pPr>
        <w:pStyle w:val="ListParagraph"/>
        <w:numPr>
          <w:ilvl w:val="0"/>
          <w:numId w:val="2"/>
        </w:numPr>
        <w:spacing w:after="60" w:line="264"/>
      </w:pPr>
      <w:r>
        <w:t xml:space="preserve">Détection de redondance : S&amp;P 500 déjà largement couvert par MSCI World ; Europe déjà surpondérée par le stock-picking (FR-212).</w:t>
      </w:r>
    </w:p>
    <w:p>
      <w:pPr>
        <w:pStyle w:val="ListParagraph"/>
        <w:numPr>
          <w:ilvl w:val="0"/>
          <w:numId w:val="2"/>
        </w:numPr>
        <w:spacing w:after="60" w:line="264"/>
      </w:pPr>
      <w:r>
        <w:t xml:space="preserve">La réserve judiciaire et l’épargne de sécurité ne sont jamais proposées pour un trade courant ; les ETF PEA de long terme ne sont jamais liquidés pour financer une adjudication (FR-213).</w:t>
      </w:r>
    </w:p>
    <w:p>
      <w:pPr>
        <w:pStyle w:val="Heading2"/>
        <w:spacing w:after="120" w:before="240"/>
      </w:pPr>
      <w:r>
        <w:t xml:space="preserve">6.12 Fiscalité de gestion et tax-loss harvesting</w:t>
      </w:r>
    </w:p>
    <w:p>
      <w:pPr>
        <w:pStyle w:val="ListParagraph"/>
        <w:numPr>
          <w:ilvl w:val="0"/>
          <w:numId w:val="2"/>
        </w:numPr>
        <w:spacing w:after="60" w:line="264"/>
      </w:pPr>
      <w:r>
        <w:t xml:space="preserve">Suivre plus-values et moins-values réalisées par année fiscale, compte et instrument.</w:t>
      </w:r>
    </w:p>
    <w:p>
      <w:pPr>
        <w:pStyle w:val="ListParagraph"/>
        <w:numPr>
          <w:ilvl w:val="0"/>
          <w:numId w:val="2"/>
        </w:numPr>
        <w:spacing w:after="60" w:line="264"/>
      </w:pPr>
      <w:r>
        <w:t xml:space="preserve">Estimer moins-values imputables et reportables, sans jamais présenter le calcul comme opposable à l’administration (FR-214).</w:t>
      </w:r>
    </w:p>
    <w:p>
      <w:pPr>
        <w:pStyle w:val="ListParagraph"/>
        <w:numPr>
          <w:ilvl w:val="0"/>
          <w:numId w:val="2"/>
        </w:numPr>
        <w:spacing w:after="60" w:line="264"/>
      </w:pPr>
      <w:r>
        <w:t xml:space="preserve">Proposer un scénario de tax-loss harvesting uniquement si la thèse est faible et la liquidité permet une sortie correcte.</w:t>
      </w:r>
    </w:p>
    <w:p>
      <w:pPr>
        <w:pStyle w:val="ListParagraph"/>
        <w:numPr>
          <w:ilvl w:val="0"/>
          <w:numId w:val="2"/>
        </w:numPr>
        <w:spacing w:after="60" w:line="264"/>
      </w:pPr>
      <w:r>
        <w:t xml:space="preserve">Conserver séparément le motif économique et le motif fiscal d’une vente.</w:t>
      </w:r>
    </w:p>
    <w:p>
      <w:pPr>
        <w:pStyle w:val="ListParagraph"/>
        <w:numPr>
          <w:ilvl w:val="0"/>
          <w:numId w:val="2"/>
        </w:numPr>
        <w:spacing w:after="60" w:line="264"/>
      </w:pPr>
      <w:r>
        <w:t xml:space="preserve">Mesurer après coup si la vente fiscale a amélioré le résultat net ou causé un manque à gagner.</w:t>
      </w:r>
    </w:p>
    <w:p>
      <w:pPr>
        <w:pStyle w:val="Heading2"/>
        <w:spacing w:after="120" w:before="240"/>
      </w:pPr>
      <w:r>
        <w:t xml:space="preserve">6.13 Alertes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638"/>
        <w:gridCol w:w="2000"/>
      </w:tblGrid>
      <w:tr>
        <w:trPr>
          <w:tblHeader/>
        </w:trPr>
        <w:tc>
          <w:tcPr>
            <w:tcW w:type="dxa" w:w="7638"/>
            <w:shd w:fill="1F3864" w:val="clear"/>
            <w:tcMar>
              <w:top w:type="dxa" w:w="50"/>
              <w:left w:type="dxa" w:w="90"/>
              <w:bottom w:type="dxa" w:w="50"/>
              <w:right w:type="dxa" w:w="90"/>
            </w:tcMar>
            <w:vAlign w:val="center"/>
          </w:tcPr>
          <w:p>
            <w:pPr>
              <w:spacing w:after="0" w:line="240"/>
            </w:pPr>
            <w:r>
              <w:rPr>
                <w:b/>
                <w:bCs/>
                <w:color w:val="FFFFFF"/>
                <w:sz w:val="18"/>
                <w:szCs w:val="18"/>
              </w:rPr>
              <w:t xml:space="preserve">Alerte</w:t>
            </w:r>
          </w:p>
        </w:tc>
        <w:tc>
          <w:tcPr>
            <w:tcW w:type="dxa" w:w="2000"/>
            <w:shd w:fill="1F3864" w:val="clear"/>
            <w:tcMar>
              <w:top w:type="dxa" w:w="50"/>
              <w:left w:type="dxa" w:w="90"/>
              <w:bottom w:type="dxa" w:w="50"/>
              <w:right w:type="dxa" w:w="90"/>
            </w:tcMar>
            <w:vAlign w:val="center"/>
          </w:tcPr>
          <w:p>
            <w:pPr>
              <w:spacing w:after="0" w:line="240"/>
            </w:pPr>
            <w:r>
              <w:rPr>
                <w:b/>
                <w:bCs/>
                <w:color w:val="FFFFFF"/>
                <w:sz w:val="18"/>
                <w:szCs w:val="18"/>
              </w:rPr>
              <w:t xml:space="preserve">Niveau</w:t>
            </w:r>
          </w:p>
        </w:tc>
      </w:tr>
      <w:tr>
        <w:tc>
          <w:tcPr>
            <w:tcW w:type="dxa" w:w="7638"/>
            <w:tcMar>
              <w:top w:type="dxa" w:w="50"/>
              <w:left w:type="dxa" w:w="90"/>
              <w:bottom w:type="dxa" w:w="50"/>
              <w:right w:type="dxa" w:w="90"/>
            </w:tcMar>
            <w:vAlign w:val="center"/>
          </w:tcPr>
          <w:p>
            <w:pPr>
              <w:spacing w:after="0" w:line="240"/>
            </w:pPr>
            <w:r>
              <w:rPr>
                <w:sz w:val="18"/>
                <w:szCs w:val="18"/>
              </w:rPr>
              <w:t xml:space="preserve">Stop orphelin ou ordre susceptible d’ouvrir une position inverse</w:t>
            </w:r>
          </w:p>
        </w:tc>
        <w:tc>
          <w:tcPr>
            <w:tcW w:type="dxa" w:w="2000"/>
            <w:tcMar>
              <w:top w:type="dxa" w:w="50"/>
              <w:left w:type="dxa" w:w="90"/>
              <w:bottom w:type="dxa" w:w="50"/>
              <w:right w:type="dxa" w:w="90"/>
            </w:tcMar>
            <w:vAlign w:val="center"/>
          </w:tcPr>
          <w:p>
            <w:pPr>
              <w:spacing w:after="0" w:line="240"/>
            </w:pPr>
            <w:r>
              <w:rPr>
                <w:sz w:val="18"/>
                <w:szCs w:val="18"/>
              </w:rPr>
              <w:t xml:space="preserve">Critique</w:t>
            </w:r>
          </w:p>
        </w:tc>
      </w:tr>
      <w:tr>
        <w:tc>
          <w:tcPr>
            <w:tcW w:type="dxa" w:w="7638"/>
            <w:shd w:fill="F7F9FC" w:val="clear"/>
            <w:tcMar>
              <w:top w:type="dxa" w:w="50"/>
              <w:left w:type="dxa" w:w="90"/>
              <w:bottom w:type="dxa" w:w="50"/>
              <w:right w:type="dxa" w:w="90"/>
            </w:tcMar>
            <w:vAlign w:val="center"/>
          </w:tcPr>
          <w:p>
            <w:pPr>
              <w:spacing w:after="0" w:line="240"/>
            </w:pPr>
            <w:r>
              <w:rPr>
                <w:sz w:val="18"/>
                <w:szCs w:val="18"/>
              </w:rPr>
              <w:t xml:space="preserve">Risque par trade supérieur au budget du grade</w:t>
            </w:r>
          </w:p>
        </w:tc>
        <w:tc>
          <w:tcPr>
            <w:tcW w:type="dxa" w:w="2000"/>
            <w:shd w:fill="F7F9FC" w:val="clear"/>
            <w:tcMar>
              <w:top w:type="dxa" w:w="50"/>
              <w:left w:type="dxa" w:w="90"/>
              <w:bottom w:type="dxa" w:w="50"/>
              <w:right w:type="dxa" w:w="90"/>
            </w:tcMar>
            <w:vAlign w:val="center"/>
          </w:tcPr>
          <w:p>
            <w:pPr>
              <w:spacing w:after="0" w:line="240"/>
            </w:pPr>
            <w:r>
              <w:rPr>
                <w:sz w:val="18"/>
                <w:szCs w:val="18"/>
              </w:rPr>
              <w:t xml:space="preserve">Critique</w:t>
            </w:r>
          </w:p>
        </w:tc>
      </w:tr>
      <w:tr>
        <w:tc>
          <w:tcPr>
            <w:tcW w:type="dxa" w:w="7638"/>
            <w:tcMar>
              <w:top w:type="dxa" w:w="50"/>
              <w:left w:type="dxa" w:w="90"/>
              <w:bottom w:type="dxa" w:w="50"/>
              <w:right w:type="dxa" w:w="90"/>
            </w:tcMar>
            <w:vAlign w:val="center"/>
          </w:tcPr>
          <w:p>
            <w:pPr>
              <w:spacing w:after="0" w:line="240"/>
            </w:pPr>
            <w:r>
              <w:rPr>
                <w:sz w:val="18"/>
                <w:szCs w:val="18"/>
              </w:rPr>
              <w:t xml:space="preserve">Heat portefeuille supérieur au plafond actif</w:t>
            </w:r>
          </w:p>
        </w:tc>
        <w:tc>
          <w:tcPr>
            <w:tcW w:type="dxa" w:w="2000"/>
            <w:tcMar>
              <w:top w:type="dxa" w:w="50"/>
              <w:left w:type="dxa" w:w="90"/>
              <w:bottom w:type="dxa" w:w="50"/>
              <w:right w:type="dxa" w:w="90"/>
            </w:tcMar>
            <w:vAlign w:val="center"/>
          </w:tcPr>
          <w:p>
            <w:pPr>
              <w:spacing w:after="0" w:line="240"/>
            </w:pPr>
            <w:r>
              <w:rPr>
                <w:sz w:val="18"/>
                <w:szCs w:val="18"/>
              </w:rPr>
              <w:t xml:space="preserve">Critique</w:t>
            </w:r>
          </w:p>
        </w:tc>
      </w:tr>
      <w:tr>
        <w:tc>
          <w:tcPr>
            <w:tcW w:type="dxa" w:w="7638"/>
            <w:shd w:fill="F7F9FC" w:val="clear"/>
            <w:tcMar>
              <w:top w:type="dxa" w:w="50"/>
              <w:left w:type="dxa" w:w="90"/>
              <w:bottom w:type="dxa" w:w="50"/>
              <w:right w:type="dxa" w:w="90"/>
            </w:tcMar>
            <w:vAlign w:val="center"/>
          </w:tcPr>
          <w:p>
            <w:pPr>
              <w:spacing w:after="0" w:line="240"/>
            </w:pPr>
            <w:r>
              <w:rPr>
                <w:sz w:val="18"/>
                <w:szCs w:val="18"/>
              </w:rPr>
              <w:t xml:space="preserve">Liquidation SRD dans moins de 10 jours sans décision</w:t>
            </w:r>
          </w:p>
        </w:tc>
        <w:tc>
          <w:tcPr>
            <w:tcW w:type="dxa" w:w="2000"/>
            <w:shd w:fill="F7F9FC" w:val="clear"/>
            <w:tcMar>
              <w:top w:type="dxa" w:w="50"/>
              <w:left w:type="dxa" w:w="90"/>
              <w:bottom w:type="dxa" w:w="50"/>
              <w:right w:type="dxa" w:w="90"/>
            </w:tcMar>
            <w:vAlign w:val="center"/>
          </w:tcPr>
          <w:p>
            <w:pPr>
              <w:spacing w:after="0" w:line="240"/>
            </w:pPr>
            <w:r>
              <w:rPr>
                <w:sz w:val="18"/>
                <w:szCs w:val="18"/>
              </w:rPr>
              <w:t xml:space="preserve">Critique</w:t>
            </w:r>
          </w:p>
        </w:tc>
      </w:tr>
      <w:tr>
        <w:tc>
          <w:tcPr>
            <w:tcW w:type="dxa" w:w="7638"/>
            <w:tcMar>
              <w:top w:type="dxa" w:w="50"/>
              <w:left w:type="dxa" w:w="90"/>
              <w:bottom w:type="dxa" w:w="50"/>
              <w:right w:type="dxa" w:w="90"/>
            </w:tcMar>
            <w:vAlign w:val="center"/>
          </w:tcPr>
          <w:p>
            <w:pPr>
              <w:spacing w:after="0" w:line="240"/>
            </w:pPr>
            <w:r>
              <w:rPr>
                <w:sz w:val="18"/>
                <w:szCs w:val="18"/>
              </w:rPr>
              <w:t xml:space="preserve">Position SRD ouverte à l’entrée d’une fenêtre no-go macro</w:t>
            </w:r>
          </w:p>
        </w:tc>
        <w:tc>
          <w:tcPr>
            <w:tcW w:type="dxa" w:w="2000"/>
            <w:tcMar>
              <w:top w:type="dxa" w:w="50"/>
              <w:left w:type="dxa" w:w="90"/>
              <w:bottom w:type="dxa" w:w="50"/>
              <w:right w:type="dxa" w:w="90"/>
            </w:tcMar>
            <w:vAlign w:val="center"/>
          </w:tcPr>
          <w:p>
            <w:pPr>
              <w:spacing w:after="0" w:line="240"/>
            </w:pPr>
            <w:r>
              <w:rPr>
                <w:sz w:val="18"/>
                <w:szCs w:val="18"/>
              </w:rPr>
              <w:t xml:space="preserve">Critique</w:t>
            </w:r>
          </w:p>
        </w:tc>
      </w:tr>
      <w:tr>
        <w:tc>
          <w:tcPr>
            <w:tcW w:type="dxa" w:w="7638"/>
            <w:shd w:fill="F7F9FC" w:val="clear"/>
            <w:tcMar>
              <w:top w:type="dxa" w:w="50"/>
              <w:left w:type="dxa" w:w="90"/>
              <w:bottom w:type="dxa" w:w="50"/>
              <w:right w:type="dxa" w:w="90"/>
            </w:tcMar>
            <w:vAlign w:val="center"/>
          </w:tcPr>
          <w:p>
            <w:pPr>
              <w:spacing w:after="0" w:line="240"/>
            </w:pPr>
            <w:r>
              <w:rPr>
                <w:sz w:val="18"/>
                <w:szCs w:val="18"/>
              </w:rPr>
              <w:t xml:space="preserve">Résultats / événement majeur dans moins de 5 séances</w:t>
            </w:r>
          </w:p>
        </w:tc>
        <w:tc>
          <w:tcPr>
            <w:tcW w:type="dxa" w:w="2000"/>
            <w:shd w:fill="F7F9FC" w:val="clear"/>
            <w:tcMar>
              <w:top w:type="dxa" w:w="50"/>
              <w:left w:type="dxa" w:w="90"/>
              <w:bottom w:type="dxa" w:w="50"/>
              <w:right w:type="dxa" w:w="90"/>
            </w:tcMar>
            <w:vAlign w:val="center"/>
          </w:tcPr>
          <w:p>
            <w:pPr>
              <w:spacing w:after="0" w:line="240"/>
            </w:pPr>
            <w:r>
              <w:rPr>
                <w:sz w:val="18"/>
                <w:szCs w:val="18"/>
              </w:rPr>
              <w:t xml:space="preserve">Élevé</w:t>
            </w:r>
          </w:p>
        </w:tc>
      </w:tr>
      <w:tr>
        <w:tc>
          <w:tcPr>
            <w:tcW w:type="dxa" w:w="7638"/>
            <w:tcMar>
              <w:top w:type="dxa" w:w="50"/>
              <w:left w:type="dxa" w:w="90"/>
              <w:bottom w:type="dxa" w:w="50"/>
              <w:right w:type="dxa" w:w="90"/>
            </w:tcMar>
            <w:vAlign w:val="center"/>
          </w:tcPr>
          <w:p>
            <w:pPr>
              <w:spacing w:after="0" w:line="240"/>
            </w:pPr>
            <w:r>
              <w:rPr>
                <w:sz w:val="18"/>
                <w:szCs w:val="18"/>
              </w:rPr>
              <w:t xml:space="preserve">Position court/moyen terme sans stop</w:t>
            </w:r>
          </w:p>
        </w:tc>
        <w:tc>
          <w:tcPr>
            <w:tcW w:type="dxa" w:w="2000"/>
            <w:tcMar>
              <w:top w:type="dxa" w:w="50"/>
              <w:left w:type="dxa" w:w="90"/>
              <w:bottom w:type="dxa" w:w="50"/>
              <w:right w:type="dxa" w:w="90"/>
            </w:tcMar>
            <w:vAlign w:val="center"/>
          </w:tcPr>
          <w:p>
            <w:pPr>
              <w:spacing w:after="0" w:line="240"/>
            </w:pPr>
            <w:r>
              <w:rPr>
                <w:sz w:val="18"/>
                <w:szCs w:val="18"/>
              </w:rPr>
              <w:t xml:space="preserve">Élevé</w:t>
            </w:r>
          </w:p>
        </w:tc>
      </w:tr>
      <w:tr>
        <w:tc>
          <w:tcPr>
            <w:tcW w:type="dxa" w:w="7638"/>
            <w:shd w:fill="F7F9FC" w:val="clear"/>
            <w:tcMar>
              <w:top w:type="dxa" w:w="50"/>
              <w:left w:type="dxa" w:w="90"/>
              <w:bottom w:type="dxa" w:w="50"/>
              <w:right w:type="dxa" w:w="90"/>
            </w:tcMar>
            <w:vAlign w:val="center"/>
          </w:tcPr>
          <w:p>
            <w:pPr>
              <w:spacing w:after="0" w:line="240"/>
            </w:pPr>
            <w:r>
              <w:rPr>
                <w:sz w:val="18"/>
                <w:szCs w:val="18"/>
              </w:rPr>
              <w:t xml:space="preserve">Donnée de cours périmée ou sans source</w:t>
            </w:r>
          </w:p>
        </w:tc>
        <w:tc>
          <w:tcPr>
            <w:tcW w:type="dxa" w:w="2000"/>
            <w:shd w:fill="F7F9FC" w:val="clear"/>
            <w:tcMar>
              <w:top w:type="dxa" w:w="50"/>
              <w:left w:type="dxa" w:w="90"/>
              <w:bottom w:type="dxa" w:w="50"/>
              <w:right w:type="dxa" w:w="90"/>
            </w:tcMar>
            <w:vAlign w:val="center"/>
          </w:tcPr>
          <w:p>
            <w:pPr>
              <w:spacing w:after="0" w:line="240"/>
            </w:pPr>
            <w:r>
              <w:rPr>
                <w:sz w:val="18"/>
                <w:szCs w:val="18"/>
              </w:rPr>
              <w:t xml:space="preserve">Élevé</w:t>
            </w:r>
          </w:p>
        </w:tc>
      </w:tr>
      <w:tr>
        <w:tc>
          <w:tcPr>
            <w:tcW w:type="dxa" w:w="7638"/>
            <w:tcMar>
              <w:top w:type="dxa" w:w="50"/>
              <w:left w:type="dxa" w:w="90"/>
              <w:bottom w:type="dxa" w:w="50"/>
              <w:right w:type="dxa" w:w="90"/>
            </w:tcMar>
            <w:vAlign w:val="center"/>
          </w:tcPr>
          <w:p>
            <w:pPr>
              <w:spacing w:after="0" w:line="240"/>
            </w:pPr>
            <w:r>
              <w:rPr>
                <w:sz w:val="18"/>
                <w:szCs w:val="18"/>
              </w:rPr>
              <w:t xml:space="preserve">Concentration par ligne, secteur, marché ou devise dépassée</w:t>
            </w:r>
          </w:p>
        </w:tc>
        <w:tc>
          <w:tcPr>
            <w:tcW w:type="dxa" w:w="2000"/>
            <w:tcMar>
              <w:top w:type="dxa" w:w="50"/>
              <w:left w:type="dxa" w:w="90"/>
              <w:bottom w:type="dxa" w:w="50"/>
              <w:right w:type="dxa" w:w="90"/>
            </w:tcMar>
            <w:vAlign w:val="center"/>
          </w:tcPr>
          <w:p>
            <w:pPr>
              <w:spacing w:after="0" w:line="240"/>
            </w:pPr>
            <w:r>
              <w:rPr>
                <w:sz w:val="18"/>
                <w:szCs w:val="18"/>
              </w:rPr>
              <w:t xml:space="preserve">Élevé</w:t>
            </w:r>
          </w:p>
        </w:tc>
      </w:tr>
      <w:tr>
        <w:tc>
          <w:tcPr>
            <w:tcW w:type="dxa" w:w="7638"/>
            <w:shd w:fill="F7F9FC" w:val="clear"/>
            <w:tcMar>
              <w:top w:type="dxa" w:w="50"/>
              <w:left w:type="dxa" w:w="90"/>
              <w:bottom w:type="dxa" w:w="50"/>
              <w:right w:type="dxa" w:w="90"/>
            </w:tcMar>
            <w:vAlign w:val="center"/>
          </w:tcPr>
          <w:p>
            <w:pPr>
              <w:spacing w:after="0" w:line="240"/>
            </w:pPr>
            <w:r>
              <w:rPr>
                <w:sz w:val="18"/>
                <w:szCs w:val="18"/>
              </w:rPr>
              <w:t xml:space="preserve">Objectif atteint sans règle d’allègement enregistrée</w:t>
            </w:r>
          </w:p>
        </w:tc>
        <w:tc>
          <w:tcPr>
            <w:tcW w:type="dxa" w:w="2000"/>
            <w:shd w:fill="F7F9FC" w:val="clear"/>
            <w:tcMar>
              <w:top w:type="dxa" w:w="50"/>
              <w:left w:type="dxa" w:w="90"/>
              <w:bottom w:type="dxa" w:w="50"/>
              <w:right w:type="dxa" w:w="90"/>
            </w:tcMar>
            <w:vAlign w:val="center"/>
          </w:tcPr>
          <w:p>
            <w:pPr>
              <w:spacing w:after="0" w:line="240"/>
            </w:pPr>
            <w:r>
              <w:rPr>
                <w:sz w:val="18"/>
                <w:szCs w:val="18"/>
              </w:rPr>
              <w:t xml:space="preserve">Moyen</w:t>
            </w:r>
          </w:p>
        </w:tc>
      </w:tr>
      <w:tr>
        <w:tc>
          <w:tcPr>
            <w:tcW w:type="dxa" w:w="7638"/>
            <w:tcMar>
              <w:top w:type="dxa" w:w="50"/>
              <w:left w:type="dxa" w:w="90"/>
              <w:bottom w:type="dxa" w:w="50"/>
              <w:right w:type="dxa" w:w="90"/>
            </w:tcMar>
            <w:vAlign w:val="center"/>
          </w:tcPr>
          <w:p>
            <w:pPr>
              <w:spacing w:after="0" w:line="240"/>
            </w:pPr>
            <w:r>
              <w:rPr>
                <w:sz w:val="18"/>
                <w:szCs w:val="18"/>
              </w:rPr>
              <w:t xml:space="preserve">Stop non remonté malgré un nouveau creux de consolidation plus haut</w:t>
            </w:r>
          </w:p>
        </w:tc>
        <w:tc>
          <w:tcPr>
            <w:tcW w:type="dxa" w:w="2000"/>
            <w:tcMar>
              <w:top w:type="dxa" w:w="50"/>
              <w:left w:type="dxa" w:w="90"/>
              <w:bottom w:type="dxa" w:w="50"/>
              <w:right w:type="dxa" w:w="90"/>
            </w:tcMar>
            <w:vAlign w:val="center"/>
          </w:tcPr>
          <w:p>
            <w:pPr>
              <w:spacing w:after="0" w:line="240"/>
            </w:pPr>
            <w:r>
              <w:rPr>
                <w:sz w:val="18"/>
                <w:szCs w:val="18"/>
              </w:rPr>
              <w:t xml:space="preserve">Moyen</w:t>
            </w:r>
          </w:p>
        </w:tc>
      </w:tr>
    </w:tbl>
    <w:p>
      <w:pPr>
        <w:pStyle w:val="Heading2"/>
        <w:spacing w:after="120" w:before="240"/>
      </w:pPr>
      <w:r>
        <w:t xml:space="preserve">6.14 KPI, performance et attribution</w:t>
      </w:r>
    </w:p>
    <w:p>
      <w:pPr>
        <w:spacing w:after="100" w:before="0" w:line="264"/>
      </w:pPr>
      <w:r>
        <w:t xml:space="preserve">Les KPI sont calculables par période libre (année, trimestre, mois, semaine, origine) et par périmètre (portefeuille, compte, stratégie, trade, recommandation, exécution). Le dictionnaire des définitions figure en annexe B. Familles couvertes :</w:t>
      </w:r>
    </w:p>
    <w:p>
      <w:pPr>
        <w:pStyle w:val="ListParagraph"/>
        <w:numPr>
          <w:ilvl w:val="0"/>
          <w:numId w:val="2"/>
        </w:numPr>
        <w:spacing w:after="60" w:line="264"/>
      </w:pPr>
      <w:r>
        <w:t xml:space="preserve">Résultat : P/L réalisé brut/net, P/L latent, dividendes, frais, coût SRD, change, fiscalité estimée.</w:t>
      </w:r>
    </w:p>
    <w:p>
      <w:pPr>
        <w:pStyle w:val="ListParagraph"/>
        <w:numPr>
          <w:ilvl w:val="0"/>
          <w:numId w:val="2"/>
        </w:numPr>
        <w:spacing w:after="60" w:line="264"/>
      </w:pPr>
      <w:r>
        <w:t xml:space="preserve">Rendement : simple, TWR, MWR/XIRR, volatilité, drawdown maximum et durée de récupération.</w:t>
      </w:r>
    </w:p>
    <w:p>
      <w:pPr>
        <w:pStyle w:val="ListParagraph"/>
        <w:numPr>
          <w:ilvl w:val="0"/>
          <w:numId w:val="2"/>
        </w:numPr>
        <w:spacing w:after="60" w:line="264"/>
      </w:pPr>
      <w:r>
        <w:t xml:space="preserve">Qualité des trades : hit rate, gain/perte moyens, profit factor, expectancy, payoff ratio, R multiple, durée de détention, turnover, exposition et levier moyens.</w:t>
      </w:r>
    </w:p>
    <w:p>
      <w:pPr>
        <w:pStyle w:val="ListParagraph"/>
        <w:numPr>
          <w:ilvl w:val="0"/>
          <w:numId w:val="2"/>
        </w:numPr>
        <w:spacing w:after="60" w:line="264"/>
      </w:pPr>
      <w:r>
        <w:t xml:space="preserve">Exécution : MFE, MAE, efficacité des stops, profit restitué, slippage.</w:t>
      </w:r>
    </w:p>
    <w:p>
      <w:pPr>
        <w:pStyle w:val="ListParagraph"/>
        <w:numPr>
          <w:ilvl w:val="0"/>
          <w:numId w:val="2"/>
        </w:numPr>
        <w:spacing w:after="60" w:line="264"/>
      </w:pPr>
      <w:r>
        <w:t xml:space="preserve">Attribution : par score, source, setup, horizon, secteur, marché, devise, compte, catalyseur, niveau de risque, grade A/B, tranche de heat, présence de gate, avant/après résultats.</w:t>
      </w:r>
    </w:p>
    <w:p>
      <w:pPr>
        <w:pStyle w:val="ListParagraph"/>
        <w:numPr>
          <w:ilvl w:val="0"/>
          <w:numId w:val="2"/>
        </w:numPr>
        <w:spacing w:after="60" w:line="264"/>
      </w:pPr>
      <w:r>
        <w:t xml:space="preserve">Discipline : recommandations non exécutées (coût d’opportunité), écart portefeuille réel vs théorique, respect des règles (stops abaissés, SRD en no-go, ordres orphelins, dérogations, retards de décision).</w:t>
      </w:r>
    </w:p>
    <w:p>
      <w:pPr>
        <w:pStyle w:val="ListParagraph"/>
        <w:numPr>
          <w:ilvl w:val="0"/>
          <w:numId w:val="2"/>
        </w:numPr>
        <w:spacing w:after="60" w:line="264"/>
      </w:pPr>
      <w:r>
        <w:t xml:space="preserve">Structure : concentration des gains (part des 1, 2 et 5 meilleurs trades dans le P/L annuel), efficacité du pyramiding (gain incrémental, réussite du +1R et du breakout), performance séparée PEA stock-picking / PEA DCA / CTO comptant / SRD.</w:t>
      </w:r>
    </w:p>
    <w:p>
      <w:pPr>
        <w:pStyle w:val="Heading2"/>
        <w:spacing w:after="120" w:before="240"/>
      </w:pPr>
      <w:r>
        <w:t xml:space="preserve">6.15 Boucle d’amélioration stratégique</w:t>
      </w:r>
    </w:p>
    <w:p>
      <w:pPr>
        <w:spacing w:after="100" w:before="0" w:line="264"/>
      </w:pPr>
      <w:r>
        <w:t xml:space="preserve">La boucle d’amélioration est explicable, prudente et protégée contre le sur-ajustement. Elle ne modifie jamais automatiquement les règles actives (FR-080, FR-081).</w:t>
      </w:r>
    </w:p>
    <w:p>
      <w:pPr>
        <w:pStyle w:val="ListParagraph"/>
        <w:numPr>
          <w:ilvl w:val="0"/>
          <w:numId w:val="2"/>
        </w:numPr>
        <w:spacing w:after="60" w:line="264"/>
      </w:pPr>
      <w:r>
        <w:t xml:space="preserve">Segmentation des résultats par facteur : score, source, secteur, volatilité, type d’entrée, stop, horizon, marché, taille, présence d’un événement.</w:t>
      </w:r>
    </w:p>
    <w:p>
      <w:pPr>
        <w:pStyle w:val="ListParagraph"/>
        <w:numPr>
          <w:ilvl w:val="0"/>
          <w:numId w:val="2"/>
        </w:numPr>
        <w:spacing w:after="60" w:line="264"/>
      </w:pPr>
      <w:r>
        <w:t xml:space="preserve">Séparation erreur d’analyse / erreur de timing / erreur de taille / erreur d’exécution, par comparaison recommandation → exécution → résultat.</w:t>
      </w:r>
    </w:p>
    <w:p>
      <w:pPr>
        <w:pStyle w:val="ListParagraph"/>
        <w:numPr>
          <w:ilvl w:val="0"/>
          <w:numId w:val="2"/>
        </w:numPr>
        <w:spacing w:after="60" w:line="264"/>
      </w:pPr>
      <w:r>
        <w:t xml:space="preserve">Échantillon minimum configurable : par défaut 10 trades clôturés ou 20 recommandations observées par segment ; l’incertitude est calculée et les conclusions fragiles sont signalées.</w:t>
      </w:r>
    </w:p>
    <w:p>
      <w:pPr>
        <w:pStyle w:val="ListParagraph"/>
        <w:numPr>
          <w:ilvl w:val="0"/>
          <w:numId w:val="2"/>
        </w:numPr>
        <w:spacing w:after="60" w:line="264"/>
      </w:pPr>
      <w:r>
        <w:t xml:space="preserve">Toute proposition précise : règle modifiée, motif, données support, impact historique, risque de sur-apprentissage, test hors échantillon temporel.</w:t>
      </w:r>
    </w:p>
    <w:p>
      <w:pPr>
        <w:pStyle w:val="ListParagraph"/>
        <w:numPr>
          <w:ilvl w:val="0"/>
          <w:numId w:val="2"/>
        </w:numPr>
        <w:spacing w:after="60" w:line="264"/>
      </w:pPr>
      <w:r>
        <w:t xml:space="preserve">Approbation manuelle → nouvelle StrategyVersion avec date d’effet ; l’historique n’est jamais réécrit ; les règles récentes restent en statut expérimental jusqu’à un minimum configurable de trades.</w:t>
      </w:r>
    </w:p>
    <w:tbl>
      <w:tblPr>
        <w:tblW w:type="dxa" w:w="9638"/>
        <w:tblBorders>
          <w:top w:val="single" w:color="BFBFBF" w:sz="4"/>
          <w:left w:val="single" w:color="1F3864" w:sz="18"/>
          <w:bottom w:val="single" w:color="BFBFBF" w:sz="4"/>
          <w:right w:val="single" w:color="BFBFBF" w:sz="4"/>
          <w:insideH w:val="single" w:color="BFBFBF" w:sz="4"/>
          <w:insideV w:val="single" w:color="BFBFBF" w:sz="4"/>
        </w:tblBorders>
      </w:tblPr>
      <w:tblGrid>
        <w:gridCol w:w="9638"/>
      </w:tblGrid>
      <w:tr>
        <w:tc>
          <w:tcPr>
            <w:tcW w:type="dxa" w:w="9638"/>
            <w:shd w:fill="EDF1F8" w:val="clear"/>
            <w:tcMar>
              <w:top w:type="dxa" w:w="90"/>
              <w:left w:type="dxa" w:w="140"/>
              <w:bottom w:type="dxa" w:w="90"/>
              <w:right w:type="dxa" w:w="140"/>
            </w:tcMar>
          </w:tcPr>
          <w:p>
            <w:pPr>
              <w:spacing w:after="40" w:before="0" w:line="264"/>
            </w:pPr>
            <w:r>
              <w:rPr>
                <w:b/>
                <w:bCs/>
                <w:color w:val="1F3864"/>
              </w:rPr>
              <w:t xml:space="preserve">Exemple d’analyse attendue</w:t>
            </w:r>
          </w:p>
          <w:p>
            <w:pPr>
              <w:spacing w:after="0" w:before="0" w:line="264"/>
            </w:pPr>
            <w:r>
              <w:t xml:space="preserve">« Les achats avec un score ≥ 80 et un catalyseur de résultats ont un profit factor supérieur, mais les entrées moins de trois jours avant publication présentent un MAE élevé et davantage de gaps. Proposition : réduire la taille de 50 % avant publication, sans supprimer le setup. »</w:t>
            </w:r>
          </w:p>
        </w:tc>
      </w:tr>
    </w:tbl>
    <w:p>
      <w:pPr>
        <w:pStyle w:val="Heading2"/>
        <w:spacing w:after="120" w:before="240"/>
      </w:pPr>
      <w:r>
        <w:t xml:space="preserve">6.16 Rapports et rituels</w:t>
      </w:r>
    </w:p>
    <w:p>
      <w:pPr>
        <w:spacing w:after="100" w:before="0" w:line="264"/>
      </w:pPr>
      <w:r>
        <w:t xml:space="preserve">Le rapport quotidien reprend les dix sections déjà utilisées : macro, marchés, portefeuille, BUY, ventes/allègements, watchlist, valeurs à éviter, plan d’action, synthèse des ordres, risques globaux (FR-090). Export Markdown et PDF.</w:t>
      </w:r>
    </w:p>
    <w:p>
      <w:pPr>
        <w:spacing w:after="100" w:before="0" w:line="264"/>
      </w:pPr>
      <w:r>
        <w:rPr>
          <w:b/>
          <w:bCs/>
        </w:rPr>
        <w:t xml:space="preserve">Rituel 2–3 fois par semaine (FR-091, FR-215)</w:t>
      </w:r>
      <w:r>
        <w:t xml:space="preserve"> — produit en moins de 15 minutes :</w:t>
      </w:r>
    </w:p>
    <w:p>
      <w:pPr>
        <w:spacing w:after="60" w:line="264"/>
        <w:ind w:left="240"/>
      </w:pPr>
      <w:r>
        <w:rPr>
          <w:b/>
          <w:bCs/>
        </w:rPr>
        <w:t xml:space="preserve">1. </w:t>
      </w:r>
      <w:r>
        <w:t xml:space="preserve">Remonter les stops des gagnants selon la règle normative du §7.10 : dernier creux de consolidation, ou 5–7 % sous le cours pour les lignes liquides. Un stop suiveur ne descend jamais, hors ajustement mécanique sur opération sur titres.</w:t>
      </w:r>
    </w:p>
    <w:p>
      <w:pPr>
        <w:spacing w:after="60" w:line="264"/>
        <w:ind w:left="240"/>
      </w:pPr>
      <w:r>
        <w:rPr>
          <w:b/>
          <w:bCs/>
        </w:rPr>
        <w:t xml:space="preserve">2. </w:t>
      </w:r>
      <w:r>
        <w:t xml:space="preserve">Contrôler objectifs, supports d’invalidation, résistances Momentum, publications et dates SRD ; appliquer le cliquet et proposer les allègements (§7.10 b).</w:t>
      </w:r>
    </w:p>
    <w:p>
      <w:pPr>
        <w:spacing w:after="60" w:line="264"/>
        <w:ind w:left="240"/>
      </w:pPr>
      <w:r>
        <w:rPr>
          <w:b/>
          <w:bCs/>
        </w:rPr>
        <w:t xml:space="preserve">3. </w:t>
      </w:r>
      <w:r>
        <w:t xml:space="preserve">Vendre ou alléger si le stop est cassé en clôture, l’objectif atteint, le momentum relatif dégradé ou une rotation qualifiée au sens du §7.10 d.</w:t>
      </w:r>
    </w:p>
    <w:p>
      <w:pPr>
        <w:spacing w:after="60" w:line="264"/>
        <w:ind w:left="240"/>
      </w:pPr>
      <w:r>
        <w:rPr>
          <w:b/>
          <w:bCs/>
        </w:rPr>
        <w:t xml:space="preserve">4. </w:t>
      </w:r>
      <w:r>
        <w:t xml:space="preserve">Traiter les échéances fermes : résultats, liquidation SRD, FOMC/BCE, décisions de roulage.</w:t>
      </w:r>
    </w:p>
    <w:p>
      <w:pPr>
        <w:spacing w:after="100" w:before="0" w:line="264"/>
      </w:pPr>
      <w:r>
        <w:t xml:space="preserve">Sortie attendue : stops à remonter, objectifs proches, échéances critiques, lignes à vendre/alléger, nouveaux achats armables et anomalies d’ordres — en une vue priorisée.</w:t>
      </w:r>
    </w:p>
    <w:p>
      <w:pPr>
        <w:pStyle w:val="Heading2"/>
        <w:spacing w:after="120" w:before="240"/>
      </w:pPr>
      <w:r>
        <w:t xml:space="preserve">6.17 Liquidités et allocation patrimoniale</w:t>
      </w:r>
    </w:p>
    <w:p>
      <w:pPr>
        <w:pStyle w:val="ListParagraph"/>
        <w:numPr>
          <w:ilvl w:val="0"/>
          <w:numId w:val="2"/>
        </w:numPr>
        <w:spacing w:after="60" w:line="264"/>
      </w:pPr>
      <w:r>
        <w:t xml:space="preserve">Enregistrer soldes de comptes courants, livrets, assurance-vie/SCPI et cash courtier (sans import bancaire automatique dans le MVP).</w:t>
      </w:r>
    </w:p>
    <w:p>
      <w:pPr>
        <w:pStyle w:val="ListParagraph"/>
        <w:numPr>
          <w:ilvl w:val="0"/>
          <w:numId w:val="2"/>
        </w:numPr>
        <w:spacing w:after="60" w:line="264"/>
      </w:pPr>
      <w:r>
        <w:t xml:space="preserve">Classer chaque poche par liquidité : immédiate, T+2, sous délai de rachat, indisponible.</w:t>
      </w:r>
    </w:p>
    <w:p>
      <w:pPr>
        <w:pStyle w:val="ListParagraph"/>
        <w:numPr>
          <w:ilvl w:val="0"/>
          <w:numId w:val="2"/>
        </w:numPr>
        <w:spacing w:after="60" w:line="264"/>
      </w:pPr>
      <w:r>
        <w:t xml:space="preserve">Montant minimal réservé aux ventes judiciaires immobilières, paramétrable.</w:t>
      </w:r>
    </w:p>
    <w:p>
      <w:pPr>
        <w:pStyle w:val="ListParagraph"/>
        <w:numPr>
          <w:ilvl w:val="0"/>
          <w:numId w:val="2"/>
        </w:numPr>
        <w:spacing w:after="60" w:line="264"/>
      </w:pPr>
      <w:r>
        <w:t xml:space="preserve">Afficher le cash réellement disponible pour le marché après déduction de la réserve et de l’épargne de sécurité.</w:t>
      </w:r>
    </w:p>
    <w:p>
      <w:pPr>
        <w:pStyle w:val="ListParagraph"/>
        <w:numPr>
          <w:ilvl w:val="0"/>
          <w:numId w:val="2"/>
        </w:numPr>
        <w:spacing w:after="60" w:line="264"/>
      </w:pPr>
      <w:r>
        <w:t xml:space="preserve">Autorisation explicite requise pour mobiliser la poche exceptionnelle ou réduire la réserve immobilière.</w:t>
      </w:r>
    </w:p>
    <w:p>
      <w:pPr>
        <w:pStyle w:val="Heading2"/>
        <w:spacing w:after="120" w:before="240"/>
      </w:pPr>
      <w:r>
        <w:t xml:space="preserve">6.18 Import de l’export Claude « Investissement Bourse »</w:t>
      </w:r>
    </w:p>
    <w:p>
      <w:pPr>
        <w:pStyle w:val="ListParagraph"/>
        <w:numPr>
          <w:ilvl w:val="0"/>
          <w:numId w:val="2"/>
        </w:numPr>
        <w:spacing w:after="60" w:line="264"/>
      </w:pPr>
      <w:r>
        <w:t xml:space="preserve">Importer un export ZIP Claude, sélectionner le projet par nom et UUID, exclure tous les autres projets (FR-200, REC-20).</w:t>
      </w:r>
    </w:p>
    <w:p>
      <w:pPr>
        <w:pStyle w:val="ListParagraph"/>
        <w:numPr>
          <w:ilvl w:val="0"/>
          <w:numId w:val="2"/>
        </w:numPr>
        <w:spacing w:after="60" w:line="264"/>
      </w:pPr>
      <w:r>
        <w:t xml:space="preserve">Lier chaque règle extraite à une conversation, un message, une date et un hash de contenu ; auditabilité jusqu’au message source (FR-201, entité ClaudeSource).</w:t>
      </w:r>
    </w:p>
    <w:p>
      <w:pPr>
        <w:pStyle w:val="ListParagraph"/>
        <w:numPr>
          <w:ilvl w:val="0"/>
          <w:numId w:val="2"/>
        </w:numPr>
        <w:spacing w:after="60" w:line="264"/>
      </w:pPr>
      <w:r>
        <w:t xml:space="preserve">La mémoire projet est une synthèse secondaire : la conversation source prime lorsqu’elle est disponible.</w:t>
      </w:r>
    </w:p>
    <w:p>
      <w:pPr>
        <w:pStyle w:val="ListParagraph"/>
        <w:numPr>
          <w:ilvl w:val="0"/>
          <w:numId w:val="2"/>
        </w:numPr>
        <w:spacing w:after="60" w:line="264"/>
      </w:pPr>
      <w:r>
        <w:t xml:space="preserve">Confidentialité : les données professionnelles, familiales ou immobilières sans lien avec l’investissement ne sont pas importées.</w:t>
      </w:r>
    </w:p>
    <w:p>
      <w:pPr>
        <w:pStyle w:val="Heading2"/>
        <w:spacing w:after="120" w:before="240"/>
      </w:pPr>
      <w:r>
        <w:t xml:space="preserve">6.19 Marchés, places de cotation et devises</w:t>
      </w:r>
    </w:p>
    <w:p>
      <w:pPr>
        <w:spacing w:after="100" w:before="0" w:line="264"/>
      </w:pPr>
      <w:r>
        <w:t xml:space="preserve">Les trois zones sont traitées au même niveau de précision. Euronext Paris conserve sa primauté opérationnelle — c’est le marché du rituel quotidien et le seul marché à effet de levier — mais les marchés européens et américains ne sont plus un périmètre implicite : chacun possède ses horaires, sa devise, son cycle de règlement, sa fiscalité et ses gates propres.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3200"/>
        <w:gridCol w:w="5038"/>
      </w:tblGrid>
      <w:tr>
        <w:trPr>
          <w:tblHeader/>
        </w:trPr>
        <w:tc>
          <w:tcPr>
            <w:tcW w:type="dxa" w:w="1400"/>
            <w:shd w:fill="1F3864" w:val="clear"/>
            <w:tcMar>
              <w:top w:type="dxa" w:w="50"/>
              <w:left w:type="dxa" w:w="90"/>
              <w:bottom w:type="dxa" w:w="50"/>
              <w:right w:type="dxa" w:w="90"/>
            </w:tcMar>
            <w:vAlign w:val="center"/>
          </w:tcPr>
          <w:p>
            <w:pPr>
              <w:spacing w:after="0" w:line="240"/>
            </w:pPr>
            <w:r>
              <w:rPr>
                <w:b/>
                <w:bCs/>
                <w:color w:val="FFFFFF"/>
                <w:sz w:val="18"/>
                <w:szCs w:val="18"/>
              </w:rPr>
              <w:t xml:space="preserve">Zone</w:t>
            </w:r>
          </w:p>
        </w:tc>
        <w:tc>
          <w:tcPr>
            <w:tcW w:type="dxa" w:w="3200"/>
            <w:shd w:fill="1F3864" w:val="clear"/>
            <w:tcMar>
              <w:top w:type="dxa" w:w="50"/>
              <w:left w:type="dxa" w:w="90"/>
              <w:bottom w:type="dxa" w:w="50"/>
              <w:right w:type="dxa" w:w="90"/>
            </w:tcMar>
            <w:vAlign w:val="center"/>
          </w:tcPr>
          <w:p>
            <w:pPr>
              <w:spacing w:after="0" w:line="240"/>
            </w:pPr>
            <w:r>
              <w:rPr>
                <w:b/>
                <w:bCs/>
                <w:color w:val="FFFFFF"/>
                <w:sz w:val="18"/>
                <w:szCs w:val="18"/>
              </w:rPr>
              <w:t xml:space="preserve">Places</w:t>
            </w:r>
          </w:p>
        </w:tc>
        <w:tc>
          <w:tcPr>
            <w:tcW w:type="dxa" w:w="5038"/>
            <w:shd w:fill="1F3864" w:val="clear"/>
            <w:tcMar>
              <w:top w:type="dxa" w:w="50"/>
              <w:left w:type="dxa" w:w="90"/>
              <w:bottom w:type="dxa" w:w="50"/>
              <w:right w:type="dxa" w:w="90"/>
            </w:tcMar>
            <w:vAlign w:val="center"/>
          </w:tcPr>
          <w:p>
            <w:pPr>
              <w:spacing w:after="0" w:line="240"/>
            </w:pPr>
            <w:r>
              <w:rPr>
                <w:b/>
                <w:bCs/>
                <w:color w:val="FFFFFF"/>
                <w:sz w:val="18"/>
                <w:szCs w:val="18"/>
              </w:rPr>
              <w:t xml:space="preserve">Spécificités structurantes</w:t>
            </w:r>
          </w:p>
        </w:tc>
      </w:tr>
      <w:tr>
        <w:tc>
          <w:tcPr>
            <w:tcW w:type="dxa" w:w="1400"/>
            <w:tcMar>
              <w:top w:type="dxa" w:w="50"/>
              <w:left w:type="dxa" w:w="90"/>
              <w:bottom w:type="dxa" w:w="50"/>
              <w:right w:type="dxa" w:w="90"/>
            </w:tcMar>
            <w:vAlign w:val="center"/>
          </w:tcPr>
          <w:p>
            <w:pPr>
              <w:spacing w:after="0" w:line="240"/>
            </w:pPr>
            <w:r>
              <w:rPr>
                <w:sz w:val="18"/>
                <w:szCs w:val="18"/>
              </w:rPr>
              <w:t xml:space="preserve">France</w:t>
            </w:r>
          </w:p>
        </w:tc>
        <w:tc>
          <w:tcPr>
            <w:tcW w:type="dxa" w:w="3200"/>
            <w:tcMar>
              <w:top w:type="dxa" w:w="50"/>
              <w:left w:type="dxa" w:w="90"/>
              <w:bottom w:type="dxa" w:w="50"/>
              <w:right w:type="dxa" w:w="90"/>
            </w:tcMar>
            <w:vAlign w:val="center"/>
          </w:tcPr>
          <w:p>
            <w:pPr>
              <w:spacing w:after="0" w:line="240"/>
            </w:pPr>
            <w:r>
              <w:rPr>
                <w:sz w:val="18"/>
                <w:szCs w:val="18"/>
              </w:rPr>
              <w:t xml:space="preserve">Euronext Paris (XPAR)</w:t>
            </w:r>
          </w:p>
        </w:tc>
        <w:tc>
          <w:tcPr>
            <w:tcW w:type="dxa" w:w="5038"/>
            <w:tcMar>
              <w:top w:type="dxa" w:w="50"/>
              <w:left w:type="dxa" w:w="90"/>
              <w:bottom w:type="dxa" w:w="50"/>
              <w:right w:type="dxa" w:w="90"/>
            </w:tcMar>
            <w:vAlign w:val="center"/>
          </w:tcPr>
          <w:p>
            <w:pPr>
              <w:spacing w:after="0" w:line="240"/>
            </w:pPr>
            <w:r>
              <w:rPr>
                <w:sz w:val="18"/>
                <w:szCs w:val="18"/>
              </w:rPr>
              <w:t xml:space="preserve">Seul marché SRD. Règlement T+2. Éligible PEA. Signaux Momentum disponibles nativement. Indice de gate : CAC 40.</w:t>
            </w:r>
          </w:p>
        </w:tc>
      </w:tr>
      <w:tr>
        <w:tc>
          <w:tcPr>
            <w:tcW w:type="dxa" w:w="1400"/>
            <w:shd w:fill="F7F9FC" w:val="clear"/>
            <w:tcMar>
              <w:top w:type="dxa" w:w="50"/>
              <w:left w:type="dxa" w:w="90"/>
              <w:bottom w:type="dxa" w:w="50"/>
              <w:right w:type="dxa" w:w="90"/>
            </w:tcMar>
            <w:vAlign w:val="center"/>
          </w:tcPr>
          <w:p>
            <w:pPr>
              <w:spacing w:after="0" w:line="240"/>
            </w:pPr>
            <w:r>
              <w:rPr>
                <w:sz w:val="18"/>
                <w:szCs w:val="18"/>
              </w:rPr>
              <w:t xml:space="preserve">Europe hors France</w:t>
            </w:r>
          </w:p>
        </w:tc>
        <w:tc>
          <w:tcPr>
            <w:tcW w:type="dxa" w:w="3200"/>
            <w:shd w:fill="F7F9FC" w:val="clear"/>
            <w:tcMar>
              <w:top w:type="dxa" w:w="50"/>
              <w:left w:type="dxa" w:w="90"/>
              <w:bottom w:type="dxa" w:w="50"/>
              <w:right w:type="dxa" w:w="90"/>
            </w:tcMar>
            <w:vAlign w:val="center"/>
          </w:tcPr>
          <w:p>
            <w:pPr>
              <w:spacing w:after="0" w:line="240"/>
            </w:pPr>
            <w:r>
              <w:rPr>
                <w:sz w:val="18"/>
                <w:szCs w:val="18"/>
              </w:rPr>
              <w:t xml:space="preserve">Amsterdam, Bruxelles, Lisbonne, Milan, Xetra, SIX, LSE, BME</w:t>
            </w:r>
          </w:p>
        </w:tc>
        <w:tc>
          <w:tcPr>
            <w:tcW w:type="dxa" w:w="5038"/>
            <w:shd w:fill="F7F9FC" w:val="clear"/>
            <w:tcMar>
              <w:top w:type="dxa" w:w="50"/>
              <w:left w:type="dxa" w:w="90"/>
              <w:bottom w:type="dxa" w:w="50"/>
              <w:right w:type="dxa" w:w="90"/>
            </w:tcMar>
            <w:vAlign w:val="center"/>
          </w:tcPr>
          <w:p>
            <w:pPr>
              <w:spacing w:after="0" w:line="240"/>
            </w:pPr>
            <w:r>
              <w:rPr>
                <w:sz w:val="18"/>
                <w:szCs w:val="18"/>
              </w:rPr>
              <w:t xml:space="preserve">Comptant uniquement. Règlement T+2. Éligibilité PEA selon le pays de l’émetteur : zone euro et EEE éligibles, Suisse et Royaume-Uni exclus. Devises EUR, CHF, GBP, SEK, DKK, NOK.</w:t>
            </w:r>
          </w:p>
        </w:tc>
      </w:tr>
      <w:tr>
        <w:tc>
          <w:tcPr>
            <w:tcW w:type="dxa" w:w="1400"/>
            <w:tcMar>
              <w:top w:type="dxa" w:w="50"/>
              <w:left w:type="dxa" w:w="90"/>
              <w:bottom w:type="dxa" w:w="50"/>
              <w:right w:type="dxa" w:w="90"/>
            </w:tcMar>
            <w:vAlign w:val="center"/>
          </w:tcPr>
          <w:p>
            <w:pPr>
              <w:spacing w:after="0" w:line="240"/>
            </w:pPr>
            <w:r>
              <w:rPr>
                <w:sz w:val="18"/>
                <w:szCs w:val="18"/>
              </w:rPr>
              <w:t xml:space="preserve">États-Unis</w:t>
            </w:r>
          </w:p>
        </w:tc>
        <w:tc>
          <w:tcPr>
            <w:tcW w:type="dxa" w:w="3200"/>
            <w:tcMar>
              <w:top w:type="dxa" w:w="50"/>
              <w:left w:type="dxa" w:w="90"/>
              <w:bottom w:type="dxa" w:w="50"/>
              <w:right w:type="dxa" w:w="90"/>
            </w:tcMar>
            <w:vAlign w:val="center"/>
          </w:tcPr>
          <w:p>
            <w:pPr>
              <w:spacing w:after="0" w:line="240"/>
            </w:pPr>
            <w:r>
              <w:rPr>
                <w:sz w:val="18"/>
                <w:szCs w:val="18"/>
              </w:rPr>
              <w:t xml:space="preserve">Nasdaq (XNAS), NYSE (XNYS)</w:t>
            </w:r>
          </w:p>
        </w:tc>
        <w:tc>
          <w:tcPr>
            <w:tcW w:type="dxa" w:w="5038"/>
            <w:tcMar>
              <w:top w:type="dxa" w:w="50"/>
              <w:left w:type="dxa" w:w="90"/>
              <w:bottom w:type="dxa" w:w="50"/>
              <w:right w:type="dxa" w:w="90"/>
            </w:tcMar>
            <w:vAlign w:val="center"/>
          </w:tcPr>
          <w:p>
            <w:pPr>
              <w:spacing w:after="0" w:line="240"/>
            </w:pPr>
            <w:r>
              <w:rPr>
                <w:sz w:val="18"/>
                <w:szCs w:val="18"/>
              </w:rPr>
              <w:t xml:space="preserve">Comptant, CTO Saxo uniquement, USD. Règlement T+1. Retenue à la source de 15 % sur dividendes sous convention. Aucun flux de signaux structuré : saisie manuelle des sources.</w:t>
            </w:r>
          </w:p>
        </w:tc>
      </w:tr>
    </w:tbl>
    <w:p>
      <w:pPr>
        <w:spacing w:after="60" w:before="0" w:line="264"/>
      </w:pPr>
      <w:r>
        <w:t xml:space="preserve"> </w:t>
      </w:r>
    </w:p>
    <w:p>
      <w:pPr>
        <w:spacing w:after="100" w:before="0" w:line="264"/>
      </w:pPr>
      <w:r>
        <w:rPr>
          <w:b/>
          <w:bCs/>
        </w:rPr>
        <w:t xml:space="preserve">Sessions de référence</w:t>
      </w:r>
      <w:r>
        <w:t xml:space="preserve"> — stockées par place en heure locale avec fuseau IANA. La colonne « heure de Paris » est indicative et ne doit jamais être codée en dur (§7.9) :</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800"/>
        <w:gridCol w:w="1700"/>
        <w:gridCol w:w="2338"/>
        <w:gridCol w:w="1200"/>
      </w:tblGrid>
      <w:tr>
        <w:trPr>
          <w:tblHeader/>
        </w:trPr>
        <w:tc>
          <w:tcPr>
            <w:tcW w:type="dxa" w:w="2600"/>
            <w:shd w:fill="1F3864" w:val="clear"/>
            <w:tcMar>
              <w:top w:type="dxa" w:w="50"/>
              <w:left w:type="dxa" w:w="90"/>
              <w:bottom w:type="dxa" w:w="50"/>
              <w:right w:type="dxa" w:w="90"/>
            </w:tcMar>
            <w:vAlign w:val="center"/>
          </w:tcPr>
          <w:p>
            <w:pPr>
              <w:spacing w:after="0" w:line="240"/>
            </w:pPr>
            <w:r>
              <w:rPr>
                <w:b/>
                <w:bCs/>
                <w:color w:val="FFFFFF"/>
                <w:sz w:val="18"/>
                <w:szCs w:val="18"/>
              </w:rPr>
              <w:t xml:space="preserve">Place</w:t>
            </w:r>
          </w:p>
        </w:tc>
        <w:tc>
          <w:tcPr>
            <w:tcW w:type="dxa" w:w="1800"/>
            <w:shd w:fill="1F3864" w:val="clear"/>
            <w:tcMar>
              <w:top w:type="dxa" w:w="50"/>
              <w:left w:type="dxa" w:w="90"/>
              <w:bottom w:type="dxa" w:w="50"/>
              <w:right w:type="dxa" w:w="90"/>
            </w:tcMar>
            <w:vAlign w:val="center"/>
          </w:tcPr>
          <w:p>
            <w:pPr>
              <w:spacing w:after="0" w:line="240"/>
            </w:pPr>
            <w:r>
              <w:rPr>
                <w:b/>
                <w:bCs/>
                <w:color w:val="FFFFFF"/>
                <w:sz w:val="18"/>
                <w:szCs w:val="18"/>
              </w:rPr>
              <w:t xml:space="preserve">Fuseau IANA</w:t>
            </w:r>
          </w:p>
        </w:tc>
        <w:tc>
          <w:tcPr>
            <w:tcW w:type="dxa" w:w="1700"/>
            <w:shd w:fill="1F3864" w:val="clear"/>
            <w:tcMar>
              <w:top w:type="dxa" w:w="50"/>
              <w:left w:type="dxa" w:w="90"/>
              <w:bottom w:type="dxa" w:w="50"/>
              <w:right w:type="dxa" w:w="90"/>
            </w:tcMar>
            <w:vAlign w:val="center"/>
          </w:tcPr>
          <w:p>
            <w:pPr>
              <w:spacing w:after="0" w:line="240"/>
            </w:pPr>
            <w:r>
              <w:rPr>
                <w:b/>
                <w:bCs/>
                <w:color w:val="FFFFFF"/>
                <w:sz w:val="18"/>
                <w:szCs w:val="18"/>
              </w:rPr>
              <w:t xml:space="preserve">Séance locale</w:t>
            </w:r>
          </w:p>
        </w:tc>
        <w:tc>
          <w:tcPr>
            <w:tcW w:type="dxa" w:w="2338"/>
            <w:shd w:fill="1F3864" w:val="clear"/>
            <w:tcMar>
              <w:top w:type="dxa" w:w="50"/>
              <w:left w:type="dxa" w:w="90"/>
              <w:bottom w:type="dxa" w:w="50"/>
              <w:right w:type="dxa" w:w="90"/>
            </w:tcMar>
            <w:vAlign w:val="center"/>
          </w:tcPr>
          <w:p>
            <w:pPr>
              <w:spacing w:after="0" w:line="240"/>
            </w:pPr>
            <w:r>
              <w:rPr>
                <w:b/>
                <w:bCs/>
                <w:color w:val="FFFFFF"/>
                <w:sz w:val="18"/>
                <w:szCs w:val="18"/>
              </w:rPr>
              <w:t xml:space="preserve">Heure de Paris (régime normal)</w:t>
            </w:r>
          </w:p>
        </w:tc>
        <w:tc>
          <w:tcPr>
            <w:tcW w:type="dxa" w:w="1200"/>
            <w:shd w:fill="1F3864" w:val="clear"/>
            <w:tcMar>
              <w:top w:type="dxa" w:w="50"/>
              <w:left w:type="dxa" w:w="90"/>
              <w:bottom w:type="dxa" w:w="50"/>
              <w:right w:type="dxa" w:w="90"/>
            </w:tcMar>
            <w:vAlign w:val="center"/>
          </w:tcPr>
          <w:p>
            <w:pPr>
              <w:spacing w:after="0" w:line="240"/>
            </w:pPr>
            <w:r>
              <w:rPr>
                <w:b/>
                <w:bCs/>
                <w:color w:val="FFFFFF"/>
                <w:sz w:val="18"/>
                <w:szCs w:val="18"/>
              </w:rPr>
              <w:t xml:space="preserve">Règlement</w:t>
            </w:r>
          </w:p>
        </w:tc>
      </w:tr>
      <w:tr>
        <w:tc>
          <w:tcPr>
            <w:tcW w:type="dxa" w:w="2600"/>
            <w:tcMar>
              <w:top w:type="dxa" w:w="50"/>
              <w:left w:type="dxa" w:w="90"/>
              <w:bottom w:type="dxa" w:w="50"/>
              <w:right w:type="dxa" w:w="90"/>
            </w:tcMar>
            <w:vAlign w:val="center"/>
          </w:tcPr>
          <w:p>
            <w:pPr>
              <w:spacing w:after="0" w:line="240"/>
            </w:pPr>
            <w:r>
              <w:rPr>
                <w:sz w:val="18"/>
                <w:szCs w:val="18"/>
              </w:rPr>
              <w:t xml:space="preserve">XPAR, XAMS, XBRU, XLIS, XMIL</w:t>
            </w:r>
          </w:p>
        </w:tc>
        <w:tc>
          <w:tcPr>
            <w:tcW w:type="dxa" w:w="1800"/>
            <w:tcMar>
              <w:top w:type="dxa" w:w="50"/>
              <w:left w:type="dxa" w:w="90"/>
              <w:bottom w:type="dxa" w:w="50"/>
              <w:right w:type="dxa" w:w="90"/>
            </w:tcMar>
            <w:vAlign w:val="center"/>
          </w:tcPr>
          <w:p>
            <w:pPr>
              <w:spacing w:after="0" w:line="240"/>
            </w:pPr>
            <w:r>
              <w:rPr>
                <w:sz w:val="18"/>
                <w:szCs w:val="18"/>
              </w:rPr>
              <w:t xml:space="preserve">Europe/Paris</w:t>
            </w:r>
          </w:p>
        </w:tc>
        <w:tc>
          <w:tcPr>
            <w:tcW w:type="dxa" w:w="1700"/>
            <w:tcMar>
              <w:top w:type="dxa" w:w="50"/>
              <w:left w:type="dxa" w:w="90"/>
              <w:bottom w:type="dxa" w:w="50"/>
              <w:right w:type="dxa" w:w="90"/>
            </w:tcMar>
            <w:vAlign w:val="center"/>
          </w:tcPr>
          <w:p>
            <w:pPr>
              <w:spacing w:after="0" w:line="240"/>
            </w:pPr>
            <w:r>
              <w:rPr>
                <w:sz w:val="18"/>
                <w:szCs w:val="18"/>
              </w:rPr>
              <w:t xml:space="preserve">09:00 – 17:30</w:t>
            </w:r>
          </w:p>
        </w:tc>
        <w:tc>
          <w:tcPr>
            <w:tcW w:type="dxa" w:w="2338"/>
            <w:tcMar>
              <w:top w:type="dxa" w:w="50"/>
              <w:left w:type="dxa" w:w="90"/>
              <w:bottom w:type="dxa" w:w="50"/>
              <w:right w:type="dxa" w:w="90"/>
            </w:tcMar>
            <w:vAlign w:val="center"/>
          </w:tcPr>
          <w:p>
            <w:pPr>
              <w:spacing w:after="0" w:line="240"/>
            </w:pPr>
            <w:r>
              <w:rPr>
                <w:sz w:val="18"/>
                <w:szCs w:val="18"/>
              </w:rPr>
              <w:t xml:space="preserve">09:00 – 17:30</w:t>
            </w:r>
          </w:p>
        </w:tc>
        <w:tc>
          <w:tcPr>
            <w:tcW w:type="dxa" w:w="1200"/>
            <w:tcMar>
              <w:top w:type="dxa" w:w="50"/>
              <w:left w:type="dxa" w:w="90"/>
              <w:bottom w:type="dxa" w:w="50"/>
              <w:right w:type="dxa" w:w="90"/>
            </w:tcMar>
            <w:vAlign w:val="center"/>
          </w:tcPr>
          <w:p>
            <w:pPr>
              <w:spacing w:after="0" w:line="240"/>
            </w:pPr>
            <w:r>
              <w:rPr>
                <w:sz w:val="18"/>
                <w:szCs w:val="18"/>
              </w:rPr>
              <w:t xml:space="preserve">T+2</w:t>
            </w:r>
          </w:p>
        </w:tc>
      </w:tr>
      <w:tr>
        <w:tc>
          <w:tcPr>
            <w:tcW w:type="dxa" w:w="2600"/>
            <w:shd w:fill="F7F9FC" w:val="clear"/>
            <w:tcMar>
              <w:top w:type="dxa" w:w="50"/>
              <w:left w:type="dxa" w:w="90"/>
              <w:bottom w:type="dxa" w:w="50"/>
              <w:right w:type="dxa" w:w="90"/>
            </w:tcMar>
            <w:vAlign w:val="center"/>
          </w:tcPr>
          <w:p>
            <w:pPr>
              <w:spacing w:after="0" w:line="240"/>
            </w:pPr>
            <w:r>
              <w:rPr>
                <w:sz w:val="18"/>
                <w:szCs w:val="18"/>
              </w:rPr>
              <w:t xml:space="preserve">XETR (Xetra)</w:t>
            </w:r>
          </w:p>
        </w:tc>
        <w:tc>
          <w:tcPr>
            <w:tcW w:type="dxa" w:w="1800"/>
            <w:shd w:fill="F7F9FC" w:val="clear"/>
            <w:tcMar>
              <w:top w:type="dxa" w:w="50"/>
              <w:left w:type="dxa" w:w="90"/>
              <w:bottom w:type="dxa" w:w="50"/>
              <w:right w:type="dxa" w:w="90"/>
            </w:tcMar>
            <w:vAlign w:val="center"/>
          </w:tcPr>
          <w:p>
            <w:pPr>
              <w:spacing w:after="0" w:line="240"/>
            </w:pPr>
            <w:r>
              <w:rPr>
                <w:sz w:val="18"/>
                <w:szCs w:val="18"/>
              </w:rPr>
              <w:t xml:space="preserve">Europe/Berlin</w:t>
            </w:r>
          </w:p>
        </w:tc>
        <w:tc>
          <w:tcPr>
            <w:tcW w:type="dxa" w:w="1700"/>
            <w:shd w:fill="F7F9FC" w:val="clear"/>
            <w:tcMar>
              <w:top w:type="dxa" w:w="50"/>
              <w:left w:type="dxa" w:w="90"/>
              <w:bottom w:type="dxa" w:w="50"/>
              <w:right w:type="dxa" w:w="90"/>
            </w:tcMar>
            <w:vAlign w:val="center"/>
          </w:tcPr>
          <w:p>
            <w:pPr>
              <w:spacing w:after="0" w:line="240"/>
            </w:pPr>
            <w:r>
              <w:rPr>
                <w:sz w:val="18"/>
                <w:szCs w:val="18"/>
              </w:rPr>
              <w:t xml:space="preserve">09:00 – 17:30</w:t>
            </w:r>
          </w:p>
        </w:tc>
        <w:tc>
          <w:tcPr>
            <w:tcW w:type="dxa" w:w="2338"/>
            <w:shd w:fill="F7F9FC" w:val="clear"/>
            <w:tcMar>
              <w:top w:type="dxa" w:w="50"/>
              <w:left w:type="dxa" w:w="90"/>
              <w:bottom w:type="dxa" w:w="50"/>
              <w:right w:type="dxa" w:w="90"/>
            </w:tcMar>
            <w:vAlign w:val="center"/>
          </w:tcPr>
          <w:p>
            <w:pPr>
              <w:spacing w:after="0" w:line="240"/>
            </w:pPr>
            <w:r>
              <w:rPr>
                <w:sz w:val="18"/>
                <w:szCs w:val="18"/>
              </w:rPr>
              <w:t xml:space="preserve">09:00 – 17:30</w:t>
            </w:r>
          </w:p>
        </w:tc>
        <w:tc>
          <w:tcPr>
            <w:tcW w:type="dxa" w:w="1200"/>
            <w:shd w:fill="F7F9FC" w:val="clear"/>
            <w:tcMar>
              <w:top w:type="dxa" w:w="50"/>
              <w:left w:type="dxa" w:w="90"/>
              <w:bottom w:type="dxa" w:w="50"/>
              <w:right w:type="dxa" w:w="90"/>
            </w:tcMar>
            <w:vAlign w:val="center"/>
          </w:tcPr>
          <w:p>
            <w:pPr>
              <w:spacing w:after="0" w:line="240"/>
            </w:pPr>
            <w:r>
              <w:rPr>
                <w:sz w:val="18"/>
                <w:szCs w:val="18"/>
              </w:rPr>
              <w:t xml:space="preserve">T+2</w:t>
            </w:r>
          </w:p>
        </w:tc>
      </w:tr>
      <w:tr>
        <w:tc>
          <w:tcPr>
            <w:tcW w:type="dxa" w:w="2600"/>
            <w:tcMar>
              <w:top w:type="dxa" w:w="50"/>
              <w:left w:type="dxa" w:w="90"/>
              <w:bottom w:type="dxa" w:w="50"/>
              <w:right w:type="dxa" w:w="90"/>
            </w:tcMar>
            <w:vAlign w:val="center"/>
          </w:tcPr>
          <w:p>
            <w:pPr>
              <w:spacing w:after="0" w:line="240"/>
            </w:pPr>
            <w:r>
              <w:rPr>
                <w:sz w:val="18"/>
                <w:szCs w:val="18"/>
              </w:rPr>
              <w:t xml:space="preserve">XSWX (SIX)</w:t>
            </w:r>
          </w:p>
        </w:tc>
        <w:tc>
          <w:tcPr>
            <w:tcW w:type="dxa" w:w="1800"/>
            <w:tcMar>
              <w:top w:type="dxa" w:w="50"/>
              <w:left w:type="dxa" w:w="90"/>
              <w:bottom w:type="dxa" w:w="50"/>
              <w:right w:type="dxa" w:w="90"/>
            </w:tcMar>
            <w:vAlign w:val="center"/>
          </w:tcPr>
          <w:p>
            <w:pPr>
              <w:spacing w:after="0" w:line="240"/>
            </w:pPr>
            <w:r>
              <w:rPr>
                <w:sz w:val="18"/>
                <w:szCs w:val="18"/>
              </w:rPr>
              <w:t xml:space="preserve">Europe/Zurich</w:t>
            </w:r>
          </w:p>
        </w:tc>
        <w:tc>
          <w:tcPr>
            <w:tcW w:type="dxa" w:w="1700"/>
            <w:tcMar>
              <w:top w:type="dxa" w:w="50"/>
              <w:left w:type="dxa" w:w="90"/>
              <w:bottom w:type="dxa" w:w="50"/>
              <w:right w:type="dxa" w:w="90"/>
            </w:tcMar>
            <w:vAlign w:val="center"/>
          </w:tcPr>
          <w:p>
            <w:pPr>
              <w:spacing w:after="0" w:line="240"/>
            </w:pPr>
            <w:r>
              <w:rPr>
                <w:sz w:val="18"/>
                <w:szCs w:val="18"/>
              </w:rPr>
              <w:t xml:space="preserve">09:00 – 17:20</w:t>
            </w:r>
          </w:p>
        </w:tc>
        <w:tc>
          <w:tcPr>
            <w:tcW w:type="dxa" w:w="2338"/>
            <w:tcMar>
              <w:top w:type="dxa" w:w="50"/>
              <w:left w:type="dxa" w:w="90"/>
              <w:bottom w:type="dxa" w:w="50"/>
              <w:right w:type="dxa" w:w="90"/>
            </w:tcMar>
            <w:vAlign w:val="center"/>
          </w:tcPr>
          <w:p>
            <w:pPr>
              <w:spacing w:after="0" w:line="240"/>
            </w:pPr>
            <w:r>
              <w:rPr>
                <w:sz w:val="18"/>
                <w:szCs w:val="18"/>
              </w:rPr>
              <w:t xml:space="preserve">09:00 – 17:20</w:t>
            </w:r>
          </w:p>
        </w:tc>
        <w:tc>
          <w:tcPr>
            <w:tcW w:type="dxa" w:w="1200"/>
            <w:tcMar>
              <w:top w:type="dxa" w:w="50"/>
              <w:left w:type="dxa" w:w="90"/>
              <w:bottom w:type="dxa" w:w="50"/>
              <w:right w:type="dxa" w:w="90"/>
            </w:tcMar>
            <w:vAlign w:val="center"/>
          </w:tcPr>
          <w:p>
            <w:pPr>
              <w:spacing w:after="0" w:line="240"/>
            </w:pPr>
            <w:r>
              <w:rPr>
                <w:sz w:val="18"/>
                <w:szCs w:val="18"/>
              </w:rPr>
              <w:t xml:space="preserve">T+2</w:t>
            </w:r>
          </w:p>
        </w:tc>
      </w:tr>
      <w:tr>
        <w:tc>
          <w:tcPr>
            <w:tcW w:type="dxa" w:w="2600"/>
            <w:shd w:fill="F7F9FC" w:val="clear"/>
            <w:tcMar>
              <w:top w:type="dxa" w:w="50"/>
              <w:left w:type="dxa" w:w="90"/>
              <w:bottom w:type="dxa" w:w="50"/>
              <w:right w:type="dxa" w:w="90"/>
            </w:tcMar>
            <w:vAlign w:val="center"/>
          </w:tcPr>
          <w:p>
            <w:pPr>
              <w:spacing w:after="0" w:line="240"/>
            </w:pPr>
            <w:r>
              <w:rPr>
                <w:sz w:val="18"/>
                <w:szCs w:val="18"/>
              </w:rPr>
              <w:t xml:space="preserve">XLON (LSE)</w:t>
            </w:r>
          </w:p>
        </w:tc>
        <w:tc>
          <w:tcPr>
            <w:tcW w:type="dxa" w:w="1800"/>
            <w:shd w:fill="F7F9FC" w:val="clear"/>
            <w:tcMar>
              <w:top w:type="dxa" w:w="50"/>
              <w:left w:type="dxa" w:w="90"/>
              <w:bottom w:type="dxa" w:w="50"/>
              <w:right w:type="dxa" w:w="90"/>
            </w:tcMar>
            <w:vAlign w:val="center"/>
          </w:tcPr>
          <w:p>
            <w:pPr>
              <w:spacing w:after="0" w:line="240"/>
            </w:pPr>
            <w:r>
              <w:rPr>
                <w:sz w:val="18"/>
                <w:szCs w:val="18"/>
              </w:rPr>
              <w:t xml:space="preserve">Europe/London</w:t>
            </w:r>
          </w:p>
        </w:tc>
        <w:tc>
          <w:tcPr>
            <w:tcW w:type="dxa" w:w="1700"/>
            <w:shd w:fill="F7F9FC" w:val="clear"/>
            <w:tcMar>
              <w:top w:type="dxa" w:w="50"/>
              <w:left w:type="dxa" w:w="90"/>
              <w:bottom w:type="dxa" w:w="50"/>
              <w:right w:type="dxa" w:w="90"/>
            </w:tcMar>
            <w:vAlign w:val="center"/>
          </w:tcPr>
          <w:p>
            <w:pPr>
              <w:spacing w:after="0" w:line="240"/>
            </w:pPr>
            <w:r>
              <w:rPr>
                <w:sz w:val="18"/>
                <w:szCs w:val="18"/>
              </w:rPr>
              <w:t xml:space="preserve">08:00 – 16:30</w:t>
            </w:r>
          </w:p>
        </w:tc>
        <w:tc>
          <w:tcPr>
            <w:tcW w:type="dxa" w:w="2338"/>
            <w:shd w:fill="F7F9FC" w:val="clear"/>
            <w:tcMar>
              <w:top w:type="dxa" w:w="50"/>
              <w:left w:type="dxa" w:w="90"/>
              <w:bottom w:type="dxa" w:w="50"/>
              <w:right w:type="dxa" w:w="90"/>
            </w:tcMar>
            <w:vAlign w:val="center"/>
          </w:tcPr>
          <w:p>
            <w:pPr>
              <w:spacing w:after="0" w:line="240"/>
            </w:pPr>
            <w:r>
              <w:rPr>
                <w:sz w:val="18"/>
                <w:szCs w:val="18"/>
              </w:rPr>
              <w:t xml:space="preserve">09:00 – 17:30</w:t>
            </w:r>
          </w:p>
        </w:tc>
        <w:tc>
          <w:tcPr>
            <w:tcW w:type="dxa" w:w="1200"/>
            <w:shd w:fill="F7F9FC" w:val="clear"/>
            <w:tcMar>
              <w:top w:type="dxa" w:w="50"/>
              <w:left w:type="dxa" w:w="90"/>
              <w:bottom w:type="dxa" w:w="50"/>
              <w:right w:type="dxa" w:w="90"/>
            </w:tcMar>
            <w:vAlign w:val="center"/>
          </w:tcPr>
          <w:p>
            <w:pPr>
              <w:spacing w:after="0" w:line="240"/>
            </w:pPr>
            <w:r>
              <w:rPr>
                <w:sz w:val="18"/>
                <w:szCs w:val="18"/>
              </w:rPr>
              <w:t xml:space="preserve">T+2</w:t>
            </w:r>
          </w:p>
        </w:tc>
      </w:tr>
      <w:tr>
        <w:tc>
          <w:tcPr>
            <w:tcW w:type="dxa" w:w="2600"/>
            <w:tcMar>
              <w:top w:type="dxa" w:w="50"/>
              <w:left w:type="dxa" w:w="90"/>
              <w:bottom w:type="dxa" w:w="50"/>
              <w:right w:type="dxa" w:w="90"/>
            </w:tcMar>
            <w:vAlign w:val="center"/>
          </w:tcPr>
          <w:p>
            <w:pPr>
              <w:spacing w:after="0" w:line="240"/>
            </w:pPr>
            <w:r>
              <w:rPr>
                <w:sz w:val="18"/>
                <w:szCs w:val="18"/>
              </w:rPr>
              <w:t xml:space="preserve">XNAS, XNYS</w:t>
            </w:r>
          </w:p>
        </w:tc>
        <w:tc>
          <w:tcPr>
            <w:tcW w:type="dxa" w:w="1800"/>
            <w:tcMar>
              <w:top w:type="dxa" w:w="50"/>
              <w:left w:type="dxa" w:w="90"/>
              <w:bottom w:type="dxa" w:w="50"/>
              <w:right w:type="dxa" w:w="90"/>
            </w:tcMar>
            <w:vAlign w:val="center"/>
          </w:tcPr>
          <w:p>
            <w:pPr>
              <w:spacing w:after="0" w:line="240"/>
            </w:pPr>
            <w:r>
              <w:rPr>
                <w:sz w:val="18"/>
                <w:szCs w:val="18"/>
              </w:rPr>
              <w:t xml:space="preserve">America/New_York</w:t>
            </w:r>
          </w:p>
        </w:tc>
        <w:tc>
          <w:tcPr>
            <w:tcW w:type="dxa" w:w="1700"/>
            <w:tcMar>
              <w:top w:type="dxa" w:w="50"/>
              <w:left w:type="dxa" w:w="90"/>
              <w:bottom w:type="dxa" w:w="50"/>
              <w:right w:type="dxa" w:w="90"/>
            </w:tcMar>
            <w:vAlign w:val="center"/>
          </w:tcPr>
          <w:p>
            <w:pPr>
              <w:spacing w:after="0" w:line="240"/>
            </w:pPr>
            <w:r>
              <w:rPr>
                <w:sz w:val="18"/>
                <w:szCs w:val="18"/>
              </w:rPr>
              <w:t xml:space="preserve">09:30 – 16:00</w:t>
            </w:r>
          </w:p>
        </w:tc>
        <w:tc>
          <w:tcPr>
            <w:tcW w:type="dxa" w:w="2338"/>
            <w:tcMar>
              <w:top w:type="dxa" w:w="50"/>
              <w:left w:type="dxa" w:w="90"/>
              <w:bottom w:type="dxa" w:w="50"/>
              <w:right w:type="dxa" w:w="90"/>
            </w:tcMar>
            <w:vAlign w:val="center"/>
          </w:tcPr>
          <w:p>
            <w:pPr>
              <w:spacing w:after="0" w:line="240"/>
            </w:pPr>
            <w:r>
              <w:rPr>
                <w:sz w:val="18"/>
                <w:szCs w:val="18"/>
              </w:rPr>
              <w:t xml:space="preserve">15:30 – 22:00</w:t>
            </w:r>
          </w:p>
        </w:tc>
        <w:tc>
          <w:tcPr>
            <w:tcW w:type="dxa" w:w="1200"/>
            <w:tcMar>
              <w:top w:type="dxa" w:w="50"/>
              <w:left w:type="dxa" w:w="90"/>
              <w:bottom w:type="dxa" w:w="50"/>
              <w:right w:type="dxa" w:w="90"/>
            </w:tcMar>
            <w:vAlign w:val="center"/>
          </w:tcPr>
          <w:p>
            <w:pPr>
              <w:spacing w:after="0" w:line="240"/>
            </w:pPr>
            <w:r>
              <w:rPr>
                <w:sz w:val="18"/>
                <w:szCs w:val="18"/>
              </w:rPr>
              <w:t xml:space="preserve">T+1</w:t>
            </w:r>
          </w:p>
        </w:tc>
      </w:tr>
    </w:tbl>
    <w:p>
      <w:pPr>
        <w:spacing w:after="60" w:before="0" w:line="264"/>
      </w:pPr>
      <w:r>
        <w:t xml:space="preserve"> </w:t>
      </w:r>
    </w:p>
    <w:p>
      <w:pPr>
        <w:pStyle w:val="ListParagraph"/>
        <w:numPr>
          <w:ilvl w:val="0"/>
          <w:numId w:val="2"/>
        </w:numPr>
        <w:spacing w:after="60" w:line="264"/>
      </w:pPr>
      <w:r>
        <w:t xml:space="preserve">Jours fériés et demi-séances stockés par place : veilles de Thanksgiving et de Noël aux États-Unis, 24 et 31 décembre en Europe, calendriers nationaux distincts. Une clôture anticipée modifie l’heure de fin de session et donc les fenêtres de décision (FR-230, REC-43).</w:t>
      </w:r>
    </w:p>
    <w:p>
      <w:pPr>
        <w:pStyle w:val="ListParagraph"/>
        <w:numPr>
          <w:ilvl w:val="0"/>
          <w:numId w:val="2"/>
        </w:numPr>
        <w:spacing w:after="60" w:line="264"/>
      </w:pPr>
      <w:r>
        <w:t xml:space="preserve">Le cycle de règlement conditionne la disponibilité réelle du cash : une vente américaine libère les fonds à T+1, une vente européenne à T+2. Le cash « disponible pour le marché » tient compte de cet écart et ne présente jamais comme disponible un produit de cession non réglé (FR-238).</w:t>
      </w:r>
    </w:p>
    <w:p>
      <w:pPr>
        <w:pStyle w:val="ListParagraph"/>
        <w:numPr>
          <w:ilvl w:val="0"/>
          <w:numId w:val="2"/>
        </w:numPr>
        <w:spacing w:after="60" w:line="264"/>
      </w:pPr>
      <w:r>
        <w:t xml:space="preserve">Aucune agrégation de montants exprimés dans des devises différentes sans conversion horodatée. Le portefeuille consolidé, le heat et la concentration sont toujours exprimés en euros (FR-232, FR-233).</w:t>
      </w:r>
    </w:p>
    <w:p>
      <w:pPr>
        <w:pStyle w:val="ListParagraph"/>
        <w:numPr>
          <w:ilvl w:val="0"/>
          <w:numId w:val="2"/>
        </w:numPr>
        <w:spacing w:after="60" w:line="264"/>
      </w:pPr>
      <w:r>
        <w:t xml:space="preserve">L’exposition par devise est affichée en permanence, avec un stress de change de ±5 % et ±10 % calculé indépendamment du stress de gap : les deux risques peuvent se cumuler sur une position américaine (FR-234, §7.8).</w:t>
      </w:r>
    </w:p>
    <w:p>
      <w:pPr>
        <w:pStyle w:val="ListParagraph"/>
        <w:numPr>
          <w:ilvl w:val="0"/>
          <w:numId w:val="2"/>
        </w:numPr>
        <w:spacing w:after="60" w:line="264"/>
      </w:pPr>
      <w:r>
        <w:t xml:space="preserve">Retenue à la source estimée par pays d’émetteur et par enveloppe, séparée du dividende brut, marquée « estimatif ». Elle est intégrée au P/L net mais ne donne lieu à aucune démarche de récupération (FR-239, REC-46).</w:t>
      </w:r>
    </w:p>
    <w:p>
      <w:pPr>
        <w:pStyle w:val="ListParagraph"/>
        <w:numPr>
          <w:ilvl w:val="0"/>
          <w:numId w:val="2"/>
        </w:numPr>
        <w:spacing w:after="60" w:line="264"/>
      </w:pPr>
      <w:r>
        <w:t xml:space="preserve">Les sources de signaux couvrant les marchés américains sont désormais déclarées et cadrées au §6.20. Les analyses externes non couvertes par une source déclarée restent saisissables manuellement avec source, date, citation et niveau de confiance, et suivent la même machine d’états et le même scoring que les signaux Momentum (FR-242).</w:t>
      </w:r>
    </w:p>
    <w:p>
      <w:pPr>
        <w:pStyle w:val="ListParagraph"/>
        <w:numPr>
          <w:ilvl w:val="0"/>
          <w:numId w:val="2"/>
        </w:numPr>
        <w:spacing w:after="60" w:line="264"/>
      </w:pPr>
      <w:r>
        <w:t xml:space="preserve">Le décalage horaire est une contrainte de rituel, pas seulement technique : la séance américaine s’ouvre après la clôture européenne, ce qui rend un stop européen inopérant pendant l’essentiel de la journée américaine et inversement. Le rapport quotidien signale explicitement les positions exposées à une séance qui se déroule hors de la fenêtre de surveillance de l’utilisateur.</w:t>
      </w:r>
    </w:p>
    <w:tbl>
      <w:tblPr>
        <w:tblW w:type="dxa" w:w="9638"/>
        <w:tblBorders>
          <w:top w:val="single" w:color="BFBFBF" w:sz="4"/>
          <w:left w:val="single" w:color="1F3864" w:sz="18"/>
          <w:bottom w:val="single" w:color="BFBFBF" w:sz="4"/>
          <w:right w:val="single" w:color="BFBFBF" w:sz="4"/>
          <w:insideH w:val="single" w:color="BFBFBF" w:sz="4"/>
          <w:insideV w:val="single" w:color="BFBFBF" w:sz="4"/>
        </w:tblBorders>
      </w:tblPr>
      <w:tblGrid>
        <w:gridCol w:w="9638"/>
      </w:tblGrid>
      <w:tr>
        <w:tc>
          <w:tcPr>
            <w:tcW w:type="dxa" w:w="9638"/>
            <w:shd w:fill="EDF1F8" w:val="clear"/>
            <w:tcMar>
              <w:top w:type="dxa" w:w="90"/>
              <w:left w:type="dxa" w:w="140"/>
              <w:bottom w:type="dxa" w:w="90"/>
              <w:right w:type="dxa" w:w="140"/>
            </w:tcMar>
          </w:tcPr>
          <w:p>
            <w:pPr>
              <w:spacing w:after="40" w:before="0" w:line="264"/>
            </w:pPr>
            <w:r>
              <w:rPr>
                <w:b/>
                <w:bCs/>
                <w:color w:val="1F3864"/>
              </w:rPr>
              <w:t xml:space="preserve">Conséquence sur le risque de gap</w:t>
            </w:r>
          </w:p>
          <w:p>
            <w:pPr>
              <w:spacing w:after="0" w:before="0" w:line="264"/>
            </w:pPr>
            <w:r>
              <w:t xml:space="preserve">Une position américaine subit un gap potentiel de 17h30 à 15h30 heure de Paris — soit 22 heures pendant lesquelles aucun stop n’est exécutable sur la place européenne, et une nuit complète pour la place américaine. Le stress de gap (§7.4) est donc calculé avec un paramètre par zone : 5 % par défaut en Europe, 8 % aux États-Unis pour une valeur avec publication imminente. Le stop reste, comme en France, une intention et non une garantie.</w:t>
            </w:r>
          </w:p>
        </w:tc>
      </w:tr>
    </w:tbl>
    <w:p>
      <w:pPr>
        <w:pStyle w:val="Heading2"/>
        <w:spacing w:after="120" w:before="240"/>
      </w:pPr>
      <w:r>
        <w:t xml:space="preserve">6.20 Sources de signaux : périmètre, mapping et anti-double-comptage</w:t>
      </w:r>
    </w:p>
    <w:p>
      <w:pPr>
        <w:spacing w:after="100" w:before="0" w:line="264"/>
      </w:pPr>
      <w:r>
        <w:t xml:space="preserve">La v2.1 signalait une lacune : hors de France, aucun flux de signaux structuré n’alimentait le système. Quatre sources américaines la comblent. Leur ajout crée un risque nouveau et non trivial : plusieurs sources décrivant le même fait gonflent artificiellement le score. Le mapping ci-dessous attribue à chaque source les composantes qu’elle peut alimenter, et celles qu’elle ne peut pas.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900"/>
        <w:gridCol w:w="1300"/>
        <w:gridCol w:w="2200"/>
        <w:gridCol w:w="1438"/>
      </w:tblGrid>
      <w:tr>
        <w:trPr>
          <w:tblHeader/>
        </w:trPr>
        <w:tc>
          <w:tcPr>
            <w:tcW w:type="dxa" w:w="1800"/>
            <w:shd w:fill="1F3864" w:val="clear"/>
            <w:tcMar>
              <w:top w:type="dxa" w:w="50"/>
              <w:left w:type="dxa" w:w="90"/>
              <w:bottom w:type="dxa" w:w="50"/>
              <w:right w:type="dxa" w:w="90"/>
            </w:tcMar>
            <w:vAlign w:val="center"/>
          </w:tcPr>
          <w:p>
            <w:pPr>
              <w:spacing w:after="0" w:line="240"/>
            </w:pPr>
            <w:r>
              <w:rPr>
                <w:b/>
                <w:bCs/>
                <w:color w:val="FFFFFF"/>
                <w:sz w:val="18"/>
                <w:szCs w:val="18"/>
              </w:rPr>
              <w:t xml:space="preserve">Source</w:t>
            </w:r>
          </w:p>
        </w:tc>
        <w:tc>
          <w:tcPr>
            <w:tcW w:type="dxa" w:w="2900"/>
            <w:shd w:fill="1F3864" w:val="clear"/>
            <w:tcMar>
              <w:top w:type="dxa" w:w="50"/>
              <w:left w:type="dxa" w:w="90"/>
              <w:bottom w:type="dxa" w:w="50"/>
              <w:right w:type="dxa" w:w="90"/>
            </w:tcMar>
            <w:vAlign w:val="center"/>
          </w:tcPr>
          <w:p>
            <w:pPr>
              <w:spacing w:after="0" w:line="240"/>
            </w:pPr>
            <w:r>
              <w:rPr>
                <w:b/>
                <w:bCs/>
                <w:color w:val="FFFFFF"/>
                <w:sz w:val="18"/>
                <w:szCs w:val="18"/>
              </w:rPr>
              <w:t xml:space="preserve">Nature</w:t>
            </w:r>
          </w:p>
        </w:tc>
        <w:tc>
          <w:tcPr>
            <w:tcW w:type="dxa" w:w="1300"/>
            <w:shd w:fill="1F3864" w:val="clear"/>
            <w:tcMar>
              <w:top w:type="dxa" w:w="50"/>
              <w:left w:type="dxa" w:w="90"/>
              <w:bottom w:type="dxa" w:w="50"/>
              <w:right w:type="dxa" w:w="90"/>
            </w:tcMar>
            <w:vAlign w:val="center"/>
          </w:tcPr>
          <w:p>
            <w:pPr>
              <w:spacing w:after="0" w:line="240"/>
            </w:pPr>
            <w:r>
              <w:rPr>
                <w:b/>
                <w:bCs/>
                <w:color w:val="FFFFFF"/>
                <w:sz w:val="18"/>
                <w:szCs w:val="18"/>
              </w:rPr>
              <w:t xml:space="preserve">Marchés</w:t>
            </w:r>
          </w:p>
        </w:tc>
        <w:tc>
          <w:tcPr>
            <w:tcW w:type="dxa" w:w="2200"/>
            <w:shd w:fill="1F3864" w:val="clear"/>
            <w:tcMar>
              <w:top w:type="dxa" w:w="50"/>
              <w:left w:type="dxa" w:w="90"/>
              <w:bottom w:type="dxa" w:w="50"/>
              <w:right w:type="dxa" w:w="90"/>
            </w:tcMar>
            <w:vAlign w:val="center"/>
          </w:tcPr>
          <w:p>
            <w:pPr>
              <w:spacing w:after="0" w:line="240"/>
            </w:pPr>
            <w:r>
              <w:rPr>
                <w:b/>
                <w:bCs/>
                <w:color w:val="FFFFFF"/>
                <w:sz w:val="18"/>
                <w:szCs w:val="18"/>
              </w:rPr>
              <w:t xml:space="preserve">Alimente</w:t>
            </w:r>
          </w:p>
        </w:tc>
        <w:tc>
          <w:tcPr>
            <w:tcW w:type="dxa" w:w="1438"/>
            <w:shd w:fill="1F3864" w:val="clear"/>
            <w:tcMar>
              <w:top w:type="dxa" w:w="50"/>
              <w:left w:type="dxa" w:w="90"/>
              <w:bottom w:type="dxa" w:w="50"/>
              <w:right w:type="dxa" w:w="90"/>
            </w:tcMar>
            <w:vAlign w:val="center"/>
          </w:tcPr>
          <w:p>
            <w:pPr>
              <w:spacing w:after="0" w:line="240"/>
            </w:pPr>
            <w:r>
              <w:rPr>
                <w:b/>
                <w:bCs/>
                <w:color w:val="FFFFFF"/>
                <w:sz w:val="18"/>
                <w:szCs w:val="18"/>
              </w:rPr>
              <w:t xml:space="preserve">N’alimente jamais</w:t>
            </w:r>
          </w:p>
        </w:tc>
      </w:tr>
      <w:tr>
        <w:tc>
          <w:tcPr>
            <w:tcW w:type="dxa" w:w="1800"/>
            <w:tcMar>
              <w:top w:type="dxa" w:w="50"/>
              <w:left w:type="dxa" w:w="90"/>
              <w:bottom w:type="dxa" w:w="50"/>
              <w:right w:type="dxa" w:w="90"/>
            </w:tcMar>
            <w:vAlign w:val="center"/>
          </w:tcPr>
          <w:p>
            <w:pPr>
              <w:spacing w:after="0" w:line="240"/>
            </w:pPr>
            <w:r>
              <w:rPr>
                <w:sz w:val="18"/>
                <w:szCs w:val="18"/>
              </w:rPr>
              <w:t xml:space="preserve">Momentum Capital</w:t>
            </w:r>
          </w:p>
        </w:tc>
        <w:tc>
          <w:tcPr>
            <w:tcW w:type="dxa" w:w="2900"/>
            <w:tcMar>
              <w:top w:type="dxa" w:w="50"/>
              <w:left w:type="dxa" w:w="90"/>
              <w:bottom w:type="dxa" w:w="50"/>
              <w:right w:type="dxa" w:w="90"/>
            </w:tcMar>
            <w:vAlign w:val="center"/>
          </w:tcPr>
          <w:p>
            <w:pPr>
              <w:spacing w:after="0" w:line="240"/>
            </w:pPr>
            <w:r>
              <w:rPr>
                <w:sz w:val="18"/>
                <w:szCs w:val="18"/>
              </w:rPr>
              <w:t xml:space="preserve">Signaux scorés, supports, résistances, objectifs, invalidations</w:t>
            </w:r>
          </w:p>
        </w:tc>
        <w:tc>
          <w:tcPr>
            <w:tcW w:type="dxa" w:w="1300"/>
            <w:tcMar>
              <w:top w:type="dxa" w:w="50"/>
              <w:left w:type="dxa" w:w="90"/>
              <w:bottom w:type="dxa" w:w="50"/>
              <w:right w:type="dxa" w:w="90"/>
            </w:tcMar>
            <w:vAlign w:val="center"/>
          </w:tcPr>
          <w:p>
            <w:pPr>
              <w:spacing w:after="0" w:line="240"/>
            </w:pPr>
            <w:r>
              <w:rPr>
                <w:sz w:val="18"/>
                <w:szCs w:val="18"/>
              </w:rPr>
              <w:t xml:space="preserve">France, Europe</w:t>
            </w:r>
          </w:p>
        </w:tc>
        <w:tc>
          <w:tcPr>
            <w:tcW w:type="dxa" w:w="2200"/>
            <w:tcMar>
              <w:top w:type="dxa" w:w="50"/>
              <w:left w:type="dxa" w:w="90"/>
              <w:bottom w:type="dxa" w:w="50"/>
              <w:right w:type="dxa" w:w="90"/>
            </w:tcMar>
            <w:vAlign w:val="center"/>
          </w:tcPr>
          <w:p>
            <w:pPr>
              <w:spacing w:after="0" w:line="240"/>
            </w:pPr>
            <w:r>
              <w:rPr>
                <w:sz w:val="18"/>
                <w:szCs w:val="18"/>
              </w:rPr>
              <w:t xml:space="preserve">Catalyseurs (0–30) et Technique (0–25)</w:t>
            </w:r>
          </w:p>
        </w:tc>
        <w:tc>
          <w:tcPr>
            <w:tcW w:type="dxa" w:w="1438"/>
            <w:tcMar>
              <w:top w:type="dxa" w:w="50"/>
              <w:left w:type="dxa" w:w="90"/>
              <w:bottom w:type="dxa" w:w="50"/>
              <w:right w:type="dxa" w:w="90"/>
            </w:tcMar>
            <w:vAlign w:val="center"/>
          </w:tcPr>
          <w:p>
            <w:pPr>
              <w:spacing w:after="0" w:line="240"/>
            </w:pPr>
            <w:r>
              <w:rPr>
                <w:sz w:val="18"/>
                <w:szCs w:val="18"/>
              </w:rPr>
              <w:t xml:space="preserve">—</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Zone Bourse</w:t>
            </w:r>
          </w:p>
        </w:tc>
        <w:tc>
          <w:tcPr>
            <w:tcW w:type="dxa" w:w="2900"/>
            <w:shd w:fill="F7F9FC" w:val="clear"/>
            <w:tcMar>
              <w:top w:type="dxa" w:w="50"/>
              <w:left w:type="dxa" w:w="90"/>
              <w:bottom w:type="dxa" w:w="50"/>
              <w:right w:type="dxa" w:w="90"/>
            </w:tcMar>
            <w:vAlign w:val="center"/>
          </w:tcPr>
          <w:p>
            <w:pPr>
              <w:spacing w:after="0" w:line="240"/>
            </w:pPr>
            <w:r>
              <w:rPr>
                <w:sz w:val="18"/>
                <w:szCs w:val="18"/>
              </w:rPr>
              <w:t xml:space="preserve">Signaux scorés avec objectifs et niveaux d’invalidation</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France, Europe</w:t>
            </w:r>
          </w:p>
        </w:tc>
        <w:tc>
          <w:tcPr>
            <w:tcW w:type="dxa" w:w="2200"/>
            <w:shd w:fill="F7F9FC" w:val="clear"/>
            <w:tcMar>
              <w:top w:type="dxa" w:w="50"/>
              <w:left w:type="dxa" w:w="90"/>
              <w:bottom w:type="dxa" w:w="50"/>
              <w:right w:type="dxa" w:w="90"/>
            </w:tcMar>
            <w:vAlign w:val="center"/>
          </w:tcPr>
          <w:p>
            <w:pPr>
              <w:spacing w:after="0" w:line="240"/>
            </w:pPr>
            <w:r>
              <w:rPr>
                <w:sz w:val="18"/>
                <w:szCs w:val="18"/>
              </w:rPr>
              <w:t xml:space="preserve">Catalyseurs (0–30) et Technique (0–25)</w:t>
            </w:r>
          </w:p>
        </w:tc>
        <w:tc>
          <w:tcPr>
            <w:tcW w:type="dxa" w:w="1438"/>
            <w:shd w:fill="F7F9FC" w:val="clear"/>
            <w:tcMar>
              <w:top w:type="dxa" w:w="50"/>
              <w:left w:type="dxa" w:w="90"/>
              <w:bottom w:type="dxa" w:w="50"/>
              <w:right w:type="dxa" w:w="90"/>
            </w:tcMar>
            <w:vAlign w:val="center"/>
          </w:tcPr>
          <w:p>
            <w:pPr>
              <w:spacing w:after="0" w:line="240"/>
            </w:pPr>
            <w:r>
              <w:rPr>
                <w:sz w:val="18"/>
                <w:szCs w:val="18"/>
              </w:rPr>
              <w:t xml:space="preserve">—</w:t>
            </w:r>
          </w:p>
        </w:tc>
      </w:tr>
      <w:tr>
        <w:tc>
          <w:tcPr>
            <w:tcW w:type="dxa" w:w="1800"/>
            <w:tcMar>
              <w:top w:type="dxa" w:w="50"/>
              <w:left w:type="dxa" w:w="90"/>
              <w:bottom w:type="dxa" w:w="50"/>
              <w:right w:type="dxa" w:w="90"/>
            </w:tcMar>
            <w:vAlign w:val="center"/>
          </w:tcPr>
          <w:p>
            <w:pPr>
              <w:spacing w:after="0" w:line="240"/>
            </w:pPr>
            <w:r>
              <w:rPr>
                <w:sz w:val="18"/>
                <w:szCs w:val="18"/>
              </w:rPr>
              <w:t xml:space="preserve">Investor’s Business Daily</w:t>
            </w:r>
          </w:p>
        </w:tc>
        <w:tc>
          <w:tcPr>
            <w:tcW w:type="dxa" w:w="2900"/>
            <w:tcMar>
              <w:top w:type="dxa" w:w="50"/>
              <w:left w:type="dxa" w:w="90"/>
              <w:bottom w:type="dxa" w:w="50"/>
              <w:right w:type="dxa" w:w="90"/>
            </w:tcMar>
            <w:vAlign w:val="center"/>
          </w:tcPr>
          <w:p>
            <w:pPr>
              <w:spacing w:after="0" w:line="240"/>
            </w:pPr>
            <w:r>
              <w:rPr>
                <w:sz w:val="18"/>
                <w:szCs w:val="18"/>
              </w:rPr>
              <w:t xml:space="preserve">Notations propriétaires 1–99 (Composite, RS, EPS), notations lettrées (SMR, Accumulation/Distribution), listes de valeurs, points d’achat, et un état de marché quotidien</w:t>
            </w:r>
          </w:p>
        </w:tc>
        <w:tc>
          <w:tcPr>
            <w:tcW w:type="dxa" w:w="1300"/>
            <w:tcMar>
              <w:top w:type="dxa" w:w="50"/>
              <w:left w:type="dxa" w:w="90"/>
              <w:bottom w:type="dxa" w:w="50"/>
              <w:right w:type="dxa" w:w="90"/>
            </w:tcMar>
            <w:vAlign w:val="center"/>
          </w:tcPr>
          <w:p>
            <w:pPr>
              <w:spacing w:after="0" w:line="240"/>
            </w:pPr>
            <w:r>
              <w:rPr>
                <w:sz w:val="18"/>
                <w:szCs w:val="18"/>
              </w:rPr>
              <w:t xml:space="preserve">États-Unis</w:t>
            </w:r>
          </w:p>
        </w:tc>
        <w:tc>
          <w:tcPr>
            <w:tcW w:type="dxa" w:w="2200"/>
            <w:tcMar>
              <w:top w:type="dxa" w:w="50"/>
              <w:left w:type="dxa" w:w="90"/>
              <w:bottom w:type="dxa" w:w="50"/>
              <w:right w:type="dxa" w:w="90"/>
            </w:tcMar>
            <w:vAlign w:val="center"/>
          </w:tcPr>
          <w:p>
            <w:pPr>
              <w:spacing w:after="0" w:line="240"/>
            </w:pPr>
            <w:r>
              <w:rPr>
                <w:sz w:val="18"/>
                <w:szCs w:val="18"/>
              </w:rPr>
              <w:t xml:space="preserve">Technique via la force relative ; Fondamentaux via les notations de résultats ; état de marché comme gate (§6.8)</w:t>
            </w:r>
          </w:p>
        </w:tc>
        <w:tc>
          <w:tcPr>
            <w:tcW w:type="dxa" w:w="1438"/>
            <w:tcMar>
              <w:top w:type="dxa" w:w="50"/>
              <w:left w:type="dxa" w:w="90"/>
              <w:bottom w:type="dxa" w:w="50"/>
              <w:right w:type="dxa" w:w="90"/>
            </w:tcMar>
            <w:vAlign w:val="center"/>
          </w:tcPr>
          <w:p>
            <w:pPr>
              <w:spacing w:after="0" w:line="240"/>
            </w:pPr>
            <w:r>
              <w:rPr>
                <w:sz w:val="18"/>
                <w:szCs w:val="18"/>
              </w:rPr>
              <w:t xml:space="preserve">Catalyseurs</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Barron’s Daily</w:t>
            </w:r>
          </w:p>
        </w:tc>
        <w:tc>
          <w:tcPr>
            <w:tcW w:type="dxa" w:w="2900"/>
            <w:shd w:fill="F7F9FC" w:val="clear"/>
            <w:tcMar>
              <w:top w:type="dxa" w:w="50"/>
              <w:left w:type="dxa" w:w="90"/>
              <w:bottom w:type="dxa" w:w="50"/>
              <w:right w:type="dxa" w:w="90"/>
            </w:tcMar>
            <w:vAlign w:val="center"/>
          </w:tcPr>
          <w:p>
            <w:pPr>
              <w:spacing w:after="0" w:line="240"/>
            </w:pPr>
            <w:r>
              <w:rPr>
                <w:sz w:val="18"/>
                <w:szCs w:val="18"/>
              </w:rPr>
              <w:t xml:space="preserve">Commentaire éditorial macro et sectoriel, sélections argumentées</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États-Unis, global</w:t>
            </w:r>
          </w:p>
        </w:tc>
        <w:tc>
          <w:tcPr>
            <w:tcW w:type="dxa" w:w="2200"/>
            <w:shd w:fill="F7F9FC" w:val="clear"/>
            <w:tcMar>
              <w:top w:type="dxa" w:w="50"/>
              <w:left w:type="dxa" w:w="90"/>
              <w:bottom w:type="dxa" w:w="50"/>
              <w:right w:type="dxa" w:w="90"/>
            </w:tcMar>
            <w:vAlign w:val="center"/>
          </w:tcPr>
          <w:p>
            <w:pPr>
              <w:spacing w:after="0" w:line="240"/>
            </w:pPr>
            <w:r>
              <w:rPr>
                <w:sz w:val="18"/>
                <w:szCs w:val="18"/>
              </w:rPr>
              <w:t xml:space="preserve">Secteur / macro (0–10) ; Catalyseurs uniquement si l’information est datée et factuelle</w:t>
            </w:r>
          </w:p>
        </w:tc>
        <w:tc>
          <w:tcPr>
            <w:tcW w:type="dxa" w:w="1438"/>
            <w:shd w:fill="F7F9FC" w:val="clear"/>
            <w:tcMar>
              <w:top w:type="dxa" w:w="50"/>
              <w:left w:type="dxa" w:w="90"/>
              <w:bottom w:type="dxa" w:w="50"/>
              <w:right w:type="dxa" w:w="90"/>
            </w:tcMar>
            <w:vAlign w:val="center"/>
          </w:tcPr>
          <w:p>
            <w:pPr>
              <w:spacing w:after="0" w:line="240"/>
            </w:pPr>
            <w:r>
              <w:rPr>
                <w:sz w:val="18"/>
                <w:szCs w:val="18"/>
              </w:rPr>
              <w:t xml:space="preserve">Technique</w:t>
            </w:r>
          </w:p>
        </w:tc>
      </w:tr>
      <w:tr>
        <w:tc>
          <w:tcPr>
            <w:tcW w:type="dxa" w:w="1800"/>
            <w:tcMar>
              <w:top w:type="dxa" w:w="50"/>
              <w:left w:type="dxa" w:w="90"/>
              <w:bottom w:type="dxa" w:w="50"/>
              <w:right w:type="dxa" w:w="90"/>
            </w:tcMar>
            <w:vAlign w:val="center"/>
          </w:tcPr>
          <w:p>
            <w:pPr>
              <w:spacing w:after="0" w:line="240"/>
            </w:pPr>
            <w:r>
              <w:rPr>
                <w:sz w:val="18"/>
                <w:szCs w:val="18"/>
              </w:rPr>
              <w:t xml:space="preserve">MarketBeat Daily</w:t>
            </w:r>
          </w:p>
        </w:tc>
        <w:tc>
          <w:tcPr>
            <w:tcW w:type="dxa" w:w="2900"/>
            <w:tcMar>
              <w:top w:type="dxa" w:w="50"/>
              <w:left w:type="dxa" w:w="90"/>
              <w:bottom w:type="dxa" w:w="50"/>
              <w:right w:type="dxa" w:w="90"/>
            </w:tcMar>
            <w:vAlign w:val="center"/>
          </w:tcPr>
          <w:p>
            <w:pPr>
              <w:spacing w:after="0" w:line="240"/>
            </w:pPr>
            <w:r>
              <w:rPr>
                <w:sz w:val="18"/>
                <w:szCs w:val="18"/>
              </w:rPr>
              <w:t xml:space="preserve">Agrégat de consensus : révisions d’analystes, objectifs de cours, résultats, dividendes, opérations d’initiés</w:t>
            </w:r>
          </w:p>
        </w:tc>
        <w:tc>
          <w:tcPr>
            <w:tcW w:type="dxa" w:w="1300"/>
            <w:tcMar>
              <w:top w:type="dxa" w:w="50"/>
              <w:left w:type="dxa" w:w="90"/>
              <w:bottom w:type="dxa" w:w="50"/>
              <w:right w:type="dxa" w:w="90"/>
            </w:tcMar>
            <w:vAlign w:val="center"/>
          </w:tcPr>
          <w:p>
            <w:pPr>
              <w:spacing w:after="0" w:line="240"/>
            </w:pPr>
            <w:r>
              <w:rPr>
                <w:sz w:val="18"/>
                <w:szCs w:val="18"/>
              </w:rPr>
              <w:t xml:space="preserve">États-Unis</w:t>
            </w:r>
          </w:p>
        </w:tc>
        <w:tc>
          <w:tcPr>
            <w:tcW w:type="dxa" w:w="2200"/>
            <w:tcMar>
              <w:top w:type="dxa" w:w="50"/>
              <w:left w:type="dxa" w:w="90"/>
              <w:bottom w:type="dxa" w:w="50"/>
              <w:right w:type="dxa" w:w="90"/>
            </w:tcMar>
            <w:vAlign w:val="center"/>
          </w:tcPr>
          <w:p>
            <w:pPr>
              <w:spacing w:after="0" w:line="240"/>
            </w:pPr>
            <w:r>
              <w:rPr>
                <w:sz w:val="18"/>
                <w:szCs w:val="18"/>
              </w:rPr>
              <w:t xml:space="preserve">Catalyseurs (0–30)</w:t>
            </w:r>
          </w:p>
        </w:tc>
        <w:tc>
          <w:tcPr>
            <w:tcW w:type="dxa" w:w="1438"/>
            <w:tcMar>
              <w:top w:type="dxa" w:w="50"/>
              <w:left w:type="dxa" w:w="90"/>
              <w:bottom w:type="dxa" w:w="50"/>
              <w:right w:type="dxa" w:w="90"/>
            </w:tcMar>
            <w:vAlign w:val="center"/>
          </w:tcPr>
          <w:p>
            <w:pPr>
              <w:spacing w:after="0" w:line="240"/>
            </w:pPr>
            <w:r>
              <w:rPr>
                <w:sz w:val="18"/>
                <w:szCs w:val="18"/>
              </w:rPr>
              <w:t xml:space="preserve">Technique, Fondamentaux</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BambooSignal</w:t>
            </w:r>
          </w:p>
        </w:tc>
        <w:tc>
          <w:tcPr>
            <w:tcW w:type="dxa" w:w="2900"/>
            <w:shd w:fill="F7F9FC" w:val="clear"/>
            <w:tcMar>
              <w:top w:type="dxa" w:w="50"/>
              <w:left w:type="dxa" w:w="90"/>
              <w:bottom w:type="dxa" w:w="50"/>
              <w:right w:type="dxa" w:w="90"/>
            </w:tcMar>
            <w:vAlign w:val="center"/>
          </w:tcPr>
          <w:p>
            <w:pPr>
              <w:spacing w:after="0" w:line="240"/>
            </w:pPr>
            <w:r>
              <w:rPr>
                <w:sz w:val="18"/>
                <w:szCs w:val="18"/>
              </w:rPr>
              <w:t xml:space="preserve">Non caractérisée à ce jour — format, périmètre et méthodologie à documenter au lot L14</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À préciser</w:t>
            </w:r>
          </w:p>
        </w:tc>
        <w:tc>
          <w:tcPr>
            <w:tcW w:type="dxa" w:w="2200"/>
            <w:shd w:fill="F7F9FC" w:val="clear"/>
            <w:tcMar>
              <w:top w:type="dxa" w:w="50"/>
              <w:left w:type="dxa" w:w="90"/>
              <w:bottom w:type="dxa" w:w="50"/>
              <w:right w:type="dxa" w:w="90"/>
            </w:tcMar>
            <w:vAlign w:val="center"/>
          </w:tcPr>
          <w:p>
            <w:pPr>
              <w:spacing w:after="0" w:line="240"/>
            </w:pPr>
            <w:r>
              <w:rPr>
                <w:sz w:val="18"/>
                <w:szCs w:val="18"/>
              </w:rPr>
              <w:t xml:space="preserve">Aucune composante tant que la source n’est pas caractérisée</w:t>
            </w:r>
          </w:p>
        </w:tc>
        <w:tc>
          <w:tcPr>
            <w:tcW w:type="dxa" w:w="1438"/>
            <w:shd w:fill="F7F9FC" w:val="clear"/>
            <w:tcMar>
              <w:top w:type="dxa" w:w="50"/>
              <w:left w:type="dxa" w:w="90"/>
              <w:bottom w:type="dxa" w:w="50"/>
              <w:right w:type="dxa" w:w="90"/>
            </w:tcMar>
            <w:vAlign w:val="center"/>
          </w:tcPr>
          <w:p>
            <w:pPr>
              <w:spacing w:after="0" w:line="240"/>
            </w:pPr>
            <w:r>
              <w:rPr>
                <w:sz w:val="18"/>
                <w:szCs w:val="18"/>
              </w:rPr>
              <w:t xml:space="preserve">Toutes</w:t>
            </w:r>
          </w:p>
        </w:tc>
      </w:tr>
    </w:tbl>
    <w:p>
      <w:pPr>
        <w:spacing w:after="60" w:before="0" w:line="264"/>
      </w:pPr>
      <w:r>
        <w:t xml:space="preserve"> </w:t>
      </w:r>
    </w:p>
    <w:p>
      <w:pPr>
        <w:spacing w:after="100" w:before="0" w:line="264"/>
      </w:pPr>
      <w:r>
        <w:rPr>
          <w:b/>
          <w:bCs/>
        </w:rPr>
        <w:t xml:space="preserve">Règles anti-double-comptage (FR-254, FR-260)</w:t>
      </w:r>
    </w:p>
    <w:p>
      <w:pPr>
        <w:pStyle w:val="ListParagraph"/>
        <w:numPr>
          <w:ilvl w:val="0"/>
          <w:numId w:val="2"/>
        </w:numPr>
        <w:spacing w:after="60" w:line="264"/>
      </w:pPr>
      <w:r>
        <w:t xml:space="preserve">Une information ne contribue qu’une seule fois. Si deux sources rapportent le même fait — même émetteur, même événement, dans une fenêtre de 5 séances — la contribution est plafonnée à celle de la source la plus proche du fait. Ordre de priorité : communication de l’émetteur, puis agrégateur de consensus, puis commentaire éditorial.</w:t>
      </w:r>
    </w:p>
    <w:p>
      <w:pPr>
        <w:pStyle w:val="ListParagraph"/>
        <w:numPr>
          <w:ilvl w:val="0"/>
          <w:numId w:val="2"/>
        </w:numPr>
        <w:spacing w:after="60" w:line="264"/>
      </w:pPr>
      <w:r>
        <w:t xml:space="preserve">Chaque contribution au score porte l’identifiant de son extrait (SourceExtract) : le détail du score est reconstructible source par source, et l’écran de scoring affiche cette décomposition (FR-261).</w:t>
      </w:r>
    </w:p>
    <w:p>
      <w:pPr>
        <w:pStyle w:val="ListParagraph"/>
        <w:numPr>
          <w:ilvl w:val="0"/>
          <w:numId w:val="2"/>
        </w:numPr>
        <w:spacing w:after="60" w:line="264"/>
      </w:pPr>
      <w:r>
        <w:t xml:space="preserve">Les notations propriétaires ne sont jamais recopiées telles quelles dans le score interne. Elles passent par une table de correspondance versionnée, afin que deux sources utilisant des échelles différentes restent comparables (FR-262).</w:t>
      </w:r>
    </w:p>
    <w:p>
      <w:pPr>
        <w:pStyle w:val="ListParagraph"/>
        <w:numPr>
          <w:ilvl w:val="0"/>
          <w:numId w:val="2"/>
        </w:numPr>
        <w:spacing w:after="60" w:line="264"/>
      </w:pPr>
      <w:r>
        <w:t xml:space="preserve">Une source dont le format n’est pas caractérisé ne peut produire qu’un WATCH : elle n’arme aucun scénario et ne contribue à aucune composante. C’est le statut initial de BambooSignal (FR-263).</w:t>
      </w:r>
    </w:p>
    <w:p>
      <w:pPr>
        <w:pStyle w:val="ListParagraph"/>
        <w:numPr>
          <w:ilvl w:val="0"/>
          <w:numId w:val="2"/>
        </w:numPr>
        <w:spacing w:after="60" w:line="264"/>
      </w:pPr>
      <w:r>
        <w:t xml:space="preserve">La performance est mesurée par source (attribution du §6.14). Une source dont la contribution dégrade le résultat sur un échantillon suffisant est rétrogradée ou retirée, par décision consignée — jamais automatiquement (FR-264).</w:t>
      </w:r>
    </w:p>
    <w:p>
      <w:pPr>
        <w:pStyle w:val="ListParagraph"/>
        <w:numPr>
          <w:ilvl w:val="0"/>
          <w:numId w:val="2"/>
        </w:numPr>
        <w:spacing w:after="60" w:line="264"/>
      </w:pPr>
      <w:r>
        <w:t xml:space="preserve">Ces sources sont des abonnements payants : seuls les contenus effectivement reçus par l’utilisateur sont importés et stockés localement, cités par extrait court avec source et date. Aucun contournement de paywall, aucune redistribution, conformément au §4.2.</w:t>
      </w:r>
    </w:p>
    <w:tbl>
      <w:tblPr>
        <w:tblW w:type="dxa" w:w="9638"/>
        <w:tblBorders>
          <w:top w:val="single" w:color="BFBFBF" w:sz="4"/>
          <w:left w:val="single" w:color="1F3864" w:sz="18"/>
          <w:bottom w:val="single" w:color="BFBFBF" w:sz="4"/>
          <w:right w:val="single" w:color="BFBFBF" w:sz="4"/>
          <w:insideH w:val="single" w:color="BFBFBF" w:sz="4"/>
          <w:insideV w:val="single" w:color="BFBFBF" w:sz="4"/>
        </w:tblBorders>
      </w:tblPr>
      <w:tblGrid>
        <w:gridCol w:w="9638"/>
      </w:tblGrid>
      <w:tr>
        <w:tc>
          <w:tcPr>
            <w:tcW w:type="dxa" w:w="9638"/>
            <w:shd w:fill="EDF1F8" w:val="clear"/>
            <w:tcMar>
              <w:top w:type="dxa" w:w="90"/>
              <w:left w:type="dxa" w:w="140"/>
              <w:bottom w:type="dxa" w:w="90"/>
              <w:right w:type="dxa" w:w="140"/>
            </w:tcMar>
          </w:tcPr>
          <w:p>
            <w:pPr>
              <w:spacing w:after="40" w:before="0" w:line="264"/>
            </w:pPr>
            <w:r>
              <w:rPr>
                <w:b/>
                <w:bCs/>
                <w:color w:val="1F3864"/>
              </w:rPr>
              <w:t xml:space="preserve">L’état de marché IBD comme gate américain</w:t>
            </w:r>
          </w:p>
          <w:p>
            <w:pPr>
              <w:spacing w:after="0" w:before="0" w:line="264"/>
            </w:pPr>
            <w:r>
              <w:t xml:space="preserve">Le projet utilise depuis l’origine une clôture du CAC 40 comme condition d’armement en France. Les marchés américains disposent d’un équivalent fonctionnel directement exploitable : l’état de marché publié quotidiennement par Investor’s Business Daily. Règle par défaut : aucun achat américain armé lorsque le marché est déclaré en correction ; taille réduite de moitié lorsqu’il est déclaré sous pression ; taille normale en tendance haussière confirmée. Ce gate se cumule avec le seuil d’indice S&amp;P 500 du §6.8, il ne le remplace pas.</w:t>
            </w:r>
          </w:p>
        </w:tc>
      </w:tr>
    </w:tbl>
    <w:p>
      <w:r>
        <w:br w:type="page"/>
      </w:r>
    </w:p>
    <w:p>
      <w:pPr>
        <w:pStyle w:val="Heading1"/>
        <w:spacing w:after="140" w:before="300"/>
      </w:pPr>
      <w:r>
        <w:t xml:space="preserve">7. Règles métier — formules normatives</w:t>
      </w:r>
    </w:p>
    <w:p>
      <w:pPr>
        <w:spacing w:after="100" w:before="0" w:line="264"/>
      </w:pPr>
      <w:r>
        <w:t xml:space="preserve">Les formules ci-dessous sont normatives : l’implémentation les reproduit exactement et les tests unitaires couvrent chaque cas limite listé. Conventions générales : montants en Decimal (jamais float), stockage NUMERIC(20,6), affichage à 2 décimales en arrondi banquier (half-even) ; quantités entières ; taux de change stockés à 6 décimales avec horodatage et source ; positions courtes hors périmètre du MVP (toutes les formules supposent des positions longues).</w:t>
      </w:r>
    </w:p>
    <w:p>
      <w:pPr>
        <w:pStyle w:val="Heading2"/>
        <w:spacing w:after="120" w:before="240"/>
      </w:pPr>
      <w:r>
        <w:t xml:space="preserve">7.1 Scoring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100"/>
        <w:gridCol w:w="6138"/>
      </w:tblGrid>
      <w:tr>
        <w:trPr>
          <w:tblHeader/>
        </w:trPr>
        <w:tc>
          <w:tcPr>
            <w:tcW w:type="dxa" w:w="2400"/>
            <w:shd w:fill="1F3864" w:val="clear"/>
            <w:tcMar>
              <w:top w:type="dxa" w:w="50"/>
              <w:left w:type="dxa" w:w="90"/>
              <w:bottom w:type="dxa" w:w="50"/>
              <w:right w:type="dxa" w:w="90"/>
            </w:tcMar>
            <w:vAlign w:val="center"/>
          </w:tcPr>
          <w:p>
            <w:pPr>
              <w:spacing w:after="0" w:line="240"/>
            </w:pPr>
            <w:r>
              <w:rPr>
                <w:b/>
                <w:bCs/>
                <w:color w:val="FFFFFF"/>
                <w:sz w:val="18"/>
                <w:szCs w:val="18"/>
              </w:rPr>
              <w:t xml:space="preserve">Composante</w:t>
            </w:r>
          </w:p>
        </w:tc>
        <w:tc>
          <w:tcPr>
            <w:tcW w:type="dxa" w:w="1100"/>
            <w:shd w:fill="1F3864" w:val="clear"/>
            <w:tcMar>
              <w:top w:type="dxa" w:w="50"/>
              <w:left w:type="dxa" w:w="90"/>
              <w:bottom w:type="dxa" w:w="50"/>
              <w:right w:type="dxa" w:w="90"/>
            </w:tcMar>
            <w:vAlign w:val="center"/>
          </w:tcPr>
          <w:p>
            <w:pPr>
              <w:spacing w:after="0" w:line="240"/>
            </w:pPr>
            <w:r>
              <w:rPr>
                <w:b/>
                <w:bCs/>
                <w:color w:val="FFFFFF"/>
                <w:sz w:val="18"/>
                <w:szCs w:val="18"/>
              </w:rPr>
              <w:t xml:space="preserve">Barème</w:t>
            </w:r>
          </w:p>
        </w:tc>
        <w:tc>
          <w:tcPr>
            <w:tcW w:type="dxa" w:w="6138"/>
            <w:shd w:fill="1F3864" w:val="clear"/>
            <w:tcMar>
              <w:top w:type="dxa" w:w="50"/>
              <w:left w:type="dxa" w:w="90"/>
              <w:bottom w:type="dxa" w:w="50"/>
              <w:right w:type="dxa" w:w="90"/>
            </w:tcMar>
            <w:vAlign w:val="center"/>
          </w:tcPr>
          <w:p>
            <w:pPr>
              <w:spacing w:after="0" w:line="240"/>
            </w:pPr>
            <w:r>
              <w:rPr>
                <w:b/>
                <w:bCs/>
                <w:color w:val="FFFFFF"/>
                <w:sz w:val="18"/>
                <w:szCs w:val="18"/>
              </w:rPr>
              <w:t xml:space="preserve">Contenu</w:t>
            </w:r>
          </w:p>
        </w:tc>
      </w:tr>
      <w:tr>
        <w:tc>
          <w:tcPr>
            <w:tcW w:type="dxa" w:w="2400"/>
            <w:tcMar>
              <w:top w:type="dxa" w:w="50"/>
              <w:left w:type="dxa" w:w="90"/>
              <w:bottom w:type="dxa" w:w="50"/>
              <w:right w:type="dxa" w:w="90"/>
            </w:tcMar>
            <w:vAlign w:val="center"/>
          </w:tcPr>
          <w:p>
            <w:pPr>
              <w:spacing w:after="0" w:line="240"/>
            </w:pPr>
            <w:r>
              <w:rPr>
                <w:sz w:val="18"/>
                <w:szCs w:val="18"/>
              </w:rPr>
              <w:t xml:space="preserve">Catalyseurs &amp; news</w:t>
            </w:r>
          </w:p>
        </w:tc>
        <w:tc>
          <w:tcPr>
            <w:tcW w:type="dxa" w:w="1100"/>
            <w:tcMar>
              <w:top w:type="dxa" w:w="50"/>
              <w:left w:type="dxa" w:w="90"/>
              <w:bottom w:type="dxa" w:w="50"/>
              <w:right w:type="dxa" w:w="90"/>
            </w:tcMar>
            <w:vAlign w:val="center"/>
          </w:tcPr>
          <w:p>
            <w:pPr>
              <w:spacing w:after="0" w:line="240"/>
            </w:pPr>
            <w:r>
              <w:rPr>
                <w:sz w:val="18"/>
                <w:szCs w:val="18"/>
              </w:rPr>
              <w:t xml:space="preserve">0–30</w:t>
            </w:r>
          </w:p>
        </w:tc>
        <w:tc>
          <w:tcPr>
            <w:tcW w:type="dxa" w:w="6138"/>
            <w:tcMar>
              <w:top w:type="dxa" w:w="50"/>
              <w:left w:type="dxa" w:w="90"/>
              <w:bottom w:type="dxa" w:w="50"/>
              <w:right w:type="dxa" w:w="90"/>
            </w:tcMar>
            <w:vAlign w:val="center"/>
          </w:tcPr>
          <w:p>
            <w:pPr>
              <w:spacing w:after="0" w:line="240"/>
            </w:pPr>
            <w:r>
              <w:rPr>
                <w:sz w:val="18"/>
                <w:szCs w:val="18"/>
              </w:rPr>
              <w:t xml:space="preserve">Résultats, contrats, recommandations, événement corporate, réglementation, macro spécifique.</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Technique / momentum</w:t>
            </w:r>
          </w:p>
        </w:tc>
        <w:tc>
          <w:tcPr>
            <w:tcW w:type="dxa" w:w="1100"/>
            <w:shd w:fill="F7F9FC" w:val="clear"/>
            <w:tcMar>
              <w:top w:type="dxa" w:w="50"/>
              <w:left w:type="dxa" w:w="90"/>
              <w:bottom w:type="dxa" w:w="50"/>
              <w:right w:type="dxa" w:w="90"/>
            </w:tcMar>
            <w:vAlign w:val="center"/>
          </w:tcPr>
          <w:p>
            <w:pPr>
              <w:spacing w:after="0" w:line="240"/>
            </w:pPr>
            <w:r>
              <w:rPr>
                <w:sz w:val="18"/>
                <w:szCs w:val="18"/>
              </w:rPr>
              <w:t xml:space="preserve">0–25</w:t>
            </w:r>
          </w:p>
        </w:tc>
        <w:tc>
          <w:tcPr>
            <w:tcW w:type="dxa" w:w="6138"/>
            <w:shd w:fill="F7F9FC" w:val="clear"/>
            <w:tcMar>
              <w:top w:type="dxa" w:w="50"/>
              <w:left w:type="dxa" w:w="90"/>
              <w:bottom w:type="dxa" w:w="50"/>
              <w:right w:type="dxa" w:w="90"/>
            </w:tcMar>
            <w:vAlign w:val="center"/>
          </w:tcPr>
          <w:p>
            <w:pPr>
              <w:spacing w:after="0" w:line="240"/>
            </w:pPr>
            <w:r>
              <w:rPr>
                <w:sz w:val="18"/>
                <w:szCs w:val="18"/>
              </w:rPr>
              <w:t xml:space="preserve">Tendance, supports, résistances, volume, force relative, volatilité, qualité du point d’entrée.</w:t>
            </w:r>
          </w:p>
        </w:tc>
      </w:tr>
      <w:tr>
        <w:tc>
          <w:tcPr>
            <w:tcW w:type="dxa" w:w="2400"/>
            <w:tcMar>
              <w:top w:type="dxa" w:w="50"/>
              <w:left w:type="dxa" w:w="90"/>
              <w:bottom w:type="dxa" w:w="50"/>
              <w:right w:type="dxa" w:w="90"/>
            </w:tcMar>
            <w:vAlign w:val="center"/>
          </w:tcPr>
          <w:p>
            <w:pPr>
              <w:spacing w:after="0" w:line="240"/>
            </w:pPr>
            <w:r>
              <w:rPr>
                <w:sz w:val="18"/>
                <w:szCs w:val="18"/>
              </w:rPr>
              <w:t xml:space="preserve">Fondamentaux</w:t>
            </w:r>
          </w:p>
        </w:tc>
        <w:tc>
          <w:tcPr>
            <w:tcW w:type="dxa" w:w="1100"/>
            <w:tcMar>
              <w:top w:type="dxa" w:w="50"/>
              <w:left w:type="dxa" w:w="90"/>
              <w:bottom w:type="dxa" w:w="50"/>
              <w:right w:type="dxa" w:w="90"/>
            </w:tcMar>
            <w:vAlign w:val="center"/>
          </w:tcPr>
          <w:p>
            <w:pPr>
              <w:spacing w:after="0" w:line="240"/>
            </w:pPr>
            <w:r>
              <w:rPr>
                <w:sz w:val="18"/>
                <w:szCs w:val="18"/>
              </w:rPr>
              <w:t xml:space="preserve">0–20</w:t>
            </w:r>
          </w:p>
        </w:tc>
        <w:tc>
          <w:tcPr>
            <w:tcW w:type="dxa" w:w="6138"/>
            <w:tcMar>
              <w:top w:type="dxa" w:w="50"/>
              <w:left w:type="dxa" w:w="90"/>
              <w:bottom w:type="dxa" w:w="50"/>
              <w:right w:type="dxa" w:w="90"/>
            </w:tcMar>
            <w:vAlign w:val="center"/>
          </w:tcPr>
          <w:p>
            <w:pPr>
              <w:spacing w:after="0" w:line="240"/>
            </w:pPr>
            <w:r>
              <w:rPr>
                <w:sz w:val="18"/>
                <w:szCs w:val="18"/>
              </w:rPr>
              <w:t xml:space="preserve">Croissance, marges, valorisation, bilan, consensus, qualité, visibilité.</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Risque / agenda</w:t>
            </w:r>
          </w:p>
        </w:tc>
        <w:tc>
          <w:tcPr>
            <w:tcW w:type="dxa" w:w="1100"/>
            <w:shd w:fill="F7F9FC" w:val="clear"/>
            <w:tcMar>
              <w:top w:type="dxa" w:w="50"/>
              <w:left w:type="dxa" w:w="90"/>
              <w:bottom w:type="dxa" w:w="50"/>
              <w:right w:type="dxa" w:w="90"/>
            </w:tcMar>
            <w:vAlign w:val="center"/>
          </w:tcPr>
          <w:p>
            <w:pPr>
              <w:spacing w:after="0" w:line="240"/>
            </w:pPr>
            <w:r>
              <w:rPr>
                <w:sz w:val="18"/>
                <w:szCs w:val="18"/>
              </w:rPr>
              <w:t xml:space="preserve">0–15</w:t>
            </w:r>
          </w:p>
        </w:tc>
        <w:tc>
          <w:tcPr>
            <w:tcW w:type="dxa" w:w="6138"/>
            <w:shd w:fill="F7F9FC" w:val="clear"/>
            <w:tcMar>
              <w:top w:type="dxa" w:w="50"/>
              <w:left w:type="dxa" w:w="90"/>
              <w:bottom w:type="dxa" w:w="50"/>
              <w:right w:type="dxa" w:w="90"/>
            </w:tcMar>
            <w:vAlign w:val="center"/>
          </w:tcPr>
          <w:p>
            <w:pPr>
              <w:spacing w:after="0" w:line="240"/>
            </w:pPr>
            <w:r>
              <w:rPr>
                <w:sz w:val="18"/>
                <w:szCs w:val="18"/>
              </w:rPr>
              <w:t xml:space="preserve">Gap, liquidité, publication, géopolitique, SRD, devise, concentration, invalidation.</w:t>
            </w:r>
          </w:p>
        </w:tc>
      </w:tr>
      <w:tr>
        <w:tc>
          <w:tcPr>
            <w:tcW w:type="dxa" w:w="2400"/>
            <w:tcMar>
              <w:top w:type="dxa" w:w="50"/>
              <w:left w:type="dxa" w:w="90"/>
              <w:bottom w:type="dxa" w:w="50"/>
              <w:right w:type="dxa" w:w="90"/>
            </w:tcMar>
            <w:vAlign w:val="center"/>
          </w:tcPr>
          <w:p>
            <w:pPr>
              <w:spacing w:after="0" w:line="240"/>
            </w:pPr>
            <w:r>
              <w:rPr>
                <w:sz w:val="18"/>
                <w:szCs w:val="18"/>
              </w:rPr>
              <w:t xml:space="preserve">Secteur / macro</w:t>
            </w:r>
          </w:p>
        </w:tc>
        <w:tc>
          <w:tcPr>
            <w:tcW w:type="dxa" w:w="1100"/>
            <w:tcMar>
              <w:top w:type="dxa" w:w="50"/>
              <w:left w:type="dxa" w:w="90"/>
              <w:bottom w:type="dxa" w:w="50"/>
              <w:right w:type="dxa" w:w="90"/>
            </w:tcMar>
            <w:vAlign w:val="center"/>
          </w:tcPr>
          <w:p>
            <w:pPr>
              <w:spacing w:after="0" w:line="240"/>
            </w:pPr>
            <w:r>
              <w:rPr>
                <w:sz w:val="18"/>
                <w:szCs w:val="18"/>
              </w:rPr>
              <w:t xml:space="preserve">0–10</w:t>
            </w:r>
          </w:p>
        </w:tc>
        <w:tc>
          <w:tcPr>
            <w:tcW w:type="dxa" w:w="6138"/>
            <w:tcMar>
              <w:top w:type="dxa" w:w="50"/>
              <w:left w:type="dxa" w:w="90"/>
              <w:bottom w:type="dxa" w:w="50"/>
              <w:right w:type="dxa" w:w="90"/>
            </w:tcMar>
            <w:vAlign w:val="center"/>
          </w:tcPr>
          <w:p>
            <w:pPr>
              <w:spacing w:after="0" w:line="240"/>
            </w:pPr>
            <w:r>
              <w:rPr>
                <w:sz w:val="18"/>
                <w:szCs w:val="18"/>
              </w:rPr>
              <w:t xml:space="preserve">Rotation, taux, pétrole, devises, cycle, sensibilité au marché.</w:t>
            </w:r>
          </w:p>
        </w:tc>
      </w:tr>
    </w:tbl>
    <w:p>
      <w:pPr>
        <w:spacing w:after="60" w:before="0" w:line="264"/>
      </w:pPr>
      <w:r>
        <w:t xml:space="preserve"> </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4238"/>
      </w:tblGrid>
      <w:tr>
        <w:trPr>
          <w:tblHeader/>
        </w:trPr>
        <w:tc>
          <w:tcPr>
            <w:tcW w:type="dxa" w:w="5400"/>
            <w:shd w:fill="1F3864" w:val="clear"/>
            <w:tcMar>
              <w:top w:type="dxa" w:w="50"/>
              <w:left w:type="dxa" w:w="90"/>
              <w:bottom w:type="dxa" w:w="50"/>
              <w:right w:type="dxa" w:w="90"/>
            </w:tcMar>
            <w:vAlign w:val="center"/>
          </w:tcPr>
          <w:p>
            <w:pPr>
              <w:spacing w:after="0" w:line="240"/>
            </w:pPr>
            <w:r>
              <w:rPr>
                <w:b/>
                <w:bCs/>
                <w:color w:val="FFFFFF"/>
                <w:sz w:val="18"/>
                <w:szCs w:val="18"/>
              </w:rPr>
              <w:t xml:space="preserve">Score / condition</w:t>
            </w:r>
          </w:p>
        </w:tc>
        <w:tc>
          <w:tcPr>
            <w:tcW w:type="dxa" w:w="4238"/>
            <w:shd w:fill="1F3864" w:val="clear"/>
            <w:tcMar>
              <w:top w:type="dxa" w:w="50"/>
              <w:left w:type="dxa" w:w="90"/>
              <w:bottom w:type="dxa" w:w="50"/>
              <w:right w:type="dxa" w:w="90"/>
            </w:tcMar>
            <w:vAlign w:val="center"/>
          </w:tcPr>
          <w:p>
            <w:pPr>
              <w:spacing w:after="0" w:line="240"/>
            </w:pPr>
            <w:r>
              <w:rPr>
                <w:b/>
                <w:bCs/>
                <w:color w:val="FFFFFF"/>
                <w:sz w:val="18"/>
                <w:szCs w:val="18"/>
              </w:rPr>
              <w:t xml:space="preserve">Décision</w:t>
            </w:r>
          </w:p>
        </w:tc>
      </w:tr>
      <w:tr>
        <w:tc>
          <w:tcPr>
            <w:tcW w:type="dxa" w:w="5400"/>
            <w:tcMar>
              <w:top w:type="dxa" w:w="50"/>
              <w:left w:type="dxa" w:w="90"/>
              <w:bottom w:type="dxa" w:w="50"/>
              <w:right w:type="dxa" w:w="90"/>
            </w:tcMar>
            <w:vAlign w:val="center"/>
          </w:tcPr>
          <w:p>
            <w:pPr>
              <w:spacing w:after="0" w:line="240"/>
            </w:pPr>
            <w:r>
              <w:rPr>
                <w:sz w:val="18"/>
                <w:szCs w:val="18"/>
              </w:rPr>
              <w:t xml:space="preserve">≥ 75 + catalyseur clair + risque faible/moyen</w:t>
            </w:r>
          </w:p>
        </w:tc>
        <w:tc>
          <w:tcPr>
            <w:tcW w:type="dxa" w:w="4238"/>
            <w:tcMar>
              <w:top w:type="dxa" w:w="50"/>
              <w:left w:type="dxa" w:w="90"/>
              <w:bottom w:type="dxa" w:w="50"/>
              <w:right w:type="dxa" w:w="90"/>
            </w:tcMar>
            <w:vAlign w:val="center"/>
          </w:tcPr>
          <w:p>
            <w:pPr>
              <w:spacing w:after="0" w:line="240"/>
            </w:pPr>
            <w:r>
              <w:rPr>
                <w:sz w:val="18"/>
                <w:szCs w:val="18"/>
              </w:rPr>
              <w:t xml:space="preserve">BUY</w:t>
            </w:r>
          </w:p>
        </w:tc>
      </w:tr>
      <w:tr>
        <w:tc>
          <w:tcPr>
            <w:tcW w:type="dxa" w:w="5400"/>
            <w:shd w:fill="F7F9FC" w:val="clear"/>
            <w:tcMar>
              <w:top w:type="dxa" w:w="50"/>
              <w:left w:type="dxa" w:w="90"/>
              <w:bottom w:type="dxa" w:w="50"/>
              <w:right w:type="dxa" w:w="90"/>
            </w:tcMar>
            <w:vAlign w:val="center"/>
          </w:tcPr>
          <w:p>
            <w:pPr>
              <w:spacing w:after="0" w:line="240"/>
            </w:pPr>
            <w:r>
              <w:rPr>
                <w:sz w:val="18"/>
                <w:szCs w:val="18"/>
              </w:rPr>
              <w:t xml:space="preserve">60–74</w:t>
            </w:r>
          </w:p>
        </w:tc>
        <w:tc>
          <w:tcPr>
            <w:tcW w:type="dxa" w:w="4238"/>
            <w:shd w:fill="F7F9FC" w:val="clear"/>
            <w:tcMar>
              <w:top w:type="dxa" w:w="50"/>
              <w:left w:type="dxa" w:w="90"/>
              <w:bottom w:type="dxa" w:w="50"/>
              <w:right w:type="dxa" w:w="90"/>
            </w:tcMar>
            <w:vAlign w:val="center"/>
          </w:tcPr>
          <w:p>
            <w:pPr>
              <w:spacing w:after="0" w:line="240"/>
            </w:pPr>
            <w:r>
              <w:rPr>
                <w:sz w:val="18"/>
                <w:szCs w:val="18"/>
              </w:rPr>
              <w:t xml:space="preserve">WATCH</w:t>
            </w:r>
          </w:p>
        </w:tc>
      </w:tr>
      <w:tr>
        <w:tc>
          <w:tcPr>
            <w:tcW w:type="dxa" w:w="5400"/>
            <w:tcMar>
              <w:top w:type="dxa" w:w="50"/>
              <w:left w:type="dxa" w:w="90"/>
              <w:bottom w:type="dxa" w:w="50"/>
              <w:right w:type="dxa" w:w="90"/>
            </w:tcMar>
            <w:vAlign w:val="center"/>
          </w:tcPr>
          <w:p>
            <w:pPr>
              <w:spacing w:after="0" w:line="240"/>
            </w:pPr>
            <w:r>
              <w:rPr>
                <w:sz w:val="18"/>
                <w:szCs w:val="18"/>
              </w:rPr>
              <w:t xml:space="preserve">Position existante, thèse intacte, pas de renfort</w:t>
            </w:r>
          </w:p>
        </w:tc>
        <w:tc>
          <w:tcPr>
            <w:tcW w:type="dxa" w:w="4238"/>
            <w:tcMar>
              <w:top w:type="dxa" w:w="50"/>
              <w:left w:type="dxa" w:w="90"/>
              <w:bottom w:type="dxa" w:w="50"/>
              <w:right w:type="dxa" w:w="90"/>
            </w:tcMar>
            <w:vAlign w:val="center"/>
          </w:tcPr>
          <w:p>
            <w:pPr>
              <w:spacing w:after="0" w:line="240"/>
            </w:pPr>
            <w:r>
              <w:rPr>
                <w:sz w:val="18"/>
                <w:szCs w:val="18"/>
              </w:rPr>
              <w:t xml:space="preserve">HOLD</w:t>
            </w:r>
          </w:p>
        </w:tc>
      </w:tr>
      <w:tr>
        <w:tc>
          <w:tcPr>
            <w:tcW w:type="dxa" w:w="5400"/>
            <w:shd w:fill="F7F9FC" w:val="clear"/>
            <w:tcMar>
              <w:top w:type="dxa" w:w="50"/>
              <w:left w:type="dxa" w:w="90"/>
              <w:bottom w:type="dxa" w:w="50"/>
              <w:right w:type="dxa" w:w="90"/>
            </w:tcMar>
            <w:vAlign w:val="center"/>
          </w:tcPr>
          <w:p>
            <w:pPr>
              <w:spacing w:after="0" w:line="240"/>
            </w:pPr>
            <w:r>
              <w:rPr>
                <w:sz w:val="18"/>
                <w:szCs w:val="18"/>
              </w:rPr>
              <w:t xml:space="preserve">Thèse invalidée, stop cassé, risque excessif</w:t>
            </w:r>
          </w:p>
        </w:tc>
        <w:tc>
          <w:tcPr>
            <w:tcW w:type="dxa" w:w="4238"/>
            <w:shd w:fill="F7F9FC" w:val="clear"/>
            <w:tcMar>
              <w:top w:type="dxa" w:w="50"/>
              <w:left w:type="dxa" w:w="90"/>
              <w:bottom w:type="dxa" w:w="50"/>
              <w:right w:type="dxa" w:w="90"/>
            </w:tcMar>
            <w:vAlign w:val="center"/>
          </w:tcPr>
          <w:p>
            <w:pPr>
              <w:spacing w:after="0" w:line="240"/>
            </w:pPr>
            <w:r>
              <w:rPr>
                <w:sz w:val="18"/>
                <w:szCs w:val="18"/>
              </w:rPr>
              <w:t xml:space="preserve">SELL / REDUCE</w:t>
            </w:r>
          </w:p>
        </w:tc>
      </w:tr>
      <w:tr>
        <w:tc>
          <w:tcPr>
            <w:tcW w:type="dxa" w:w="5400"/>
            <w:tcMar>
              <w:top w:type="dxa" w:w="50"/>
              <w:left w:type="dxa" w:w="90"/>
              <w:bottom w:type="dxa" w:w="50"/>
              <w:right w:type="dxa" w:w="90"/>
            </w:tcMar>
            <w:vAlign w:val="center"/>
          </w:tcPr>
          <w:p>
            <w:pPr>
              <w:spacing w:after="0" w:line="240"/>
            </w:pPr>
            <w:r>
              <w:rPr>
                <w:sz w:val="18"/>
                <w:szCs w:val="18"/>
              </w:rPr>
              <w:t xml:space="preserve">Signal insuffisant</w:t>
            </w:r>
          </w:p>
        </w:tc>
        <w:tc>
          <w:tcPr>
            <w:tcW w:type="dxa" w:w="4238"/>
            <w:tcMar>
              <w:top w:type="dxa" w:w="50"/>
              <w:left w:type="dxa" w:w="90"/>
              <w:bottom w:type="dxa" w:w="50"/>
              <w:right w:type="dxa" w:w="90"/>
            </w:tcMar>
            <w:vAlign w:val="center"/>
          </w:tcPr>
          <w:p>
            <w:pPr>
              <w:spacing w:after="0" w:line="240"/>
            </w:pPr>
            <w:r>
              <w:rPr>
                <w:sz w:val="18"/>
                <w:szCs w:val="18"/>
              </w:rPr>
              <w:t xml:space="preserve">NO TRADE</w:t>
            </w:r>
          </w:p>
        </w:tc>
      </w:tr>
    </w:tbl>
    <w:p>
      <w:pPr>
        <w:pStyle w:val="Heading2"/>
        <w:spacing w:after="120" w:before="240"/>
      </w:pPr>
      <w:r>
        <w:t xml:space="preserve">7.2 Taille de position et risque initial</w:t>
      </w:r>
    </w:p>
    <w:p>
      <w:pPr>
        <w:keepLines/>
        <w:shd w:fill="F5F5F5" w:val="clear"/>
        <w:spacing w:after="0" w:line="240"/>
        <w:ind w:left="160" w:right="160"/>
      </w:pPr>
      <w:r>
        <w:rPr>
          <w:rFonts w:ascii="Consolas" w:cs="Consolas" w:eastAsia="Consolas" w:hAnsi="Consolas"/>
          <w:sz w:val="17"/>
          <w:szCs w:val="17"/>
        </w:rPr>
        <w:t xml:space="preserve"># grade B (défaut) : taux = 0,0075 ; grade A (validation requise) : taux = 0,0100</w:t>
      </w:r>
    </w:p>
    <w:p>
      <w:pPr>
        <w:keepLines/>
        <w:shd w:fill="F5F5F5" w:val="clear"/>
        <w:spacing w:after="0" w:line="240"/>
        <w:ind w:left="160" w:right="160"/>
      </w:pPr>
      <w:r>
        <w:rPr>
          <w:rFonts w:ascii="Consolas" w:cs="Consolas" w:eastAsia="Consolas" w:hAnsi="Consolas"/>
          <w:sz w:val="17"/>
          <w:szCs w:val="17"/>
        </w:rPr>
        <w:t xml:space="preserve">risque_budget   = capital_pilote × taux_risque(grade)</w:t>
      </w:r>
    </w:p>
    <w:p>
      <w:pPr>
        <w:keepLines/>
        <w:shd w:fill="F5F5F5" w:val="clear"/>
        <w:spacing w:after="0" w:line="240"/>
        <w:ind w:left="160" w:right="160"/>
      </w:pPr>
      <w:r>
        <w:rPr>
          <w:rFonts w:ascii="Consolas" w:cs="Consolas" w:eastAsia="Consolas" w:hAnsi="Consolas"/>
          <w:sz w:val="17"/>
          <w:szCs w:val="17"/>
        </w:rPr>
        <w:t xml:space="preserve">distance        = |prix_entree − stop|          # devise de l’instrument</w:t>
      </w:r>
    </w:p>
    <w:p>
      <w:pPr>
        <w:keepLines/>
        <w:shd w:fill="F5F5F5" w:val="clear"/>
        <w:spacing w:after="0" w:line="240"/>
        <w:ind w:left="160" w:right="160"/>
      </w:pPr>
      <w:r>
        <w:rPr>
          <w:rFonts w:ascii="Consolas" w:cs="Consolas" w:eastAsia="Consolas" w:hAnsi="Consolas"/>
          <w:sz w:val="17"/>
          <w:szCs w:val="17"/>
        </w:rPr>
        <w:t xml:space="preserve">si distance = 0 → REJET (stop invalide)</w:t>
      </w:r>
    </w:p>
    <w:p>
      <w:pPr>
        <w:keepLines/>
        <w:shd w:fill="F5F5F5" w:val="clear"/>
        <w:spacing w:after="0" w:line="240"/>
        <w:ind w:left="160" w:right="160"/>
      </w:pPr>
      <w:r>
        <w:rPr>
          <w:rFonts w:ascii="Consolas" w:cs="Consolas" w:eastAsia="Consolas" w:hAnsi="Consolas"/>
          <w:sz w:val="17"/>
          <w:szCs w:val="17"/>
        </w:rPr>
        <w:t xml:space="preserve">si stop du mauvais côté du sens → REJET</w:t>
      </w:r>
    </w:p>
    <w:p>
      <w:pPr>
        <w:keepLines/>
        <w:shd w:fill="F5F5F5" w:val="clear"/>
        <w:spacing w:after="0" w:line="240"/>
        <w:ind w:left="160" w:right="160"/>
      </w:pPr>
      <w:r>
        <w:rPr>
          <w:rFonts w:ascii="Consolas" w:cs="Consolas" w:eastAsia="Consolas" w:hAnsi="Consolas"/>
          <w:sz w:val="17"/>
          <w:szCs w:val="17"/>
        </w:rPr>
        <w:t xml:space="preserve">cout_par_titre  = distance × fx + frais_variables_unitaires</w:t>
      </w:r>
    </w:p>
    <w:p>
      <w:pPr>
        <w:keepLines/>
        <w:shd w:fill="F5F5F5" w:val="clear"/>
        <w:spacing w:after="0" w:line="240"/>
        <w:ind w:left="160" w:right="160"/>
      </w:pPr>
      <w:r>
        <w:rPr>
          <w:rFonts w:ascii="Consolas" w:cs="Consolas" w:eastAsia="Consolas" w:hAnsi="Consolas"/>
          <w:sz w:val="17"/>
          <w:szCs w:val="17"/>
        </w:rPr>
        <w:t xml:space="preserve">quantite        = plancher(risque_budget / cout_par_titre)</w:t>
      </w:r>
    </w:p>
    <w:p>
      <w:pPr>
        <w:keepLines/>
        <w:shd w:fill="F5F5F5" w:val="clear"/>
        <w:spacing w:after="0" w:line="240"/>
        <w:ind w:left="160" w:right="160"/>
      </w:pPr>
      <w:r>
        <w:rPr>
          <w:rFonts w:ascii="Consolas" w:cs="Consolas" w:eastAsia="Consolas" w:hAnsi="Consolas"/>
          <w:sz w:val="17"/>
          <w:szCs w:val="17"/>
        </w:rPr>
        <w:t xml:space="preserve">si quantite = 0 → NO TRADE (budget insuffisant pour 1 titre)</w:t>
      </w:r>
    </w:p>
    <w:p>
      <w:pPr>
        <w:keepLines/>
        <w:shd w:fill="F5F5F5" w:val="clear"/>
        <w:spacing w:after="0" w:line="240"/>
        <w:ind w:left="160" w:right="160"/>
      </w:pPr>
      <w:r>
        <w:rPr>
          <w:rFonts w:ascii="Consolas" w:cs="Consolas" w:eastAsia="Consolas" w:hAnsi="Consolas"/>
          <w:sz w:val="17"/>
          <w:szCs w:val="17"/>
        </w:rPr>
        <w:t xml:space="preserve">risque_initial  = quantite × distance × fx + frais_fixes_estimes + marge_gap</w:t>
      </w:r>
    </w:p>
    <w:p>
      <w:pPr>
        <w:keepLines/>
        <w:shd w:fill="F5F5F5" w:val="clear"/>
        <w:spacing w:after="0" w:line="240"/>
        <w:ind w:left="160" w:right="160"/>
      </w:pPr>
      <w:r>
        <w:rPr>
          <w:rFonts w:ascii="Consolas" w:cs="Consolas" w:eastAsia="Consolas" w:hAnsi="Consolas"/>
          <w:sz w:val="17"/>
          <w:szCs w:val="17"/>
        </w:rPr>
        <w:t xml:space="preserve">tant que risque_initial &gt; risque_budget et quantite &gt; 0 :</w:t>
      </w:r>
    </w:p>
    <w:p>
      <w:pPr>
        <w:keepLines/>
        <w:shd w:fill="F5F5F5" w:val="clear"/>
        <w:spacing w:after="0" w:line="240"/>
        <w:ind w:left="160" w:right="160"/>
      </w:pPr>
      <w:r>
        <w:rPr>
          <w:rFonts w:ascii="Consolas" w:cs="Consolas" w:eastAsia="Consolas" w:hAnsi="Consolas"/>
          <w:sz w:val="17"/>
          <w:szCs w:val="17"/>
        </w:rPr>
        <w:t xml:space="preserve">    quantite −= 1 ; recalculer risque_initial</w:t>
      </w:r>
    </w:p>
    <w:p>
      <w:pPr>
        <w:keepLines/>
        <w:shd w:fill="F5F5F5" w:val="clear"/>
        <w:spacing w:after="120" w:line="240"/>
        <w:ind w:left="160" w:right="160"/>
      </w:pPr>
      <w:r>
        <w:rPr>
          <w:rFonts w:ascii="Consolas" w:cs="Consolas" w:eastAsia="Consolas" w:hAnsi="Consolas"/>
          <w:sz w:val="17"/>
          <w:szCs w:val="17"/>
        </w:rPr>
        <w:t xml:space="preserve">poids_position  = (quantite × prix_entree × fx) / capital_pilote</w:t>
      </w:r>
    </w:p>
    <w:p>
      <w:pPr>
        <w:spacing w:after="100" w:before="0" w:line="264"/>
      </w:pPr>
      <w:r>
        <w:rPr>
          <w:b/>
          <w:bCs/>
        </w:rPr>
        <w:t xml:space="preserve">Cas limites à tester : </w:t>
      </w:r>
      <w:r>
        <w:t xml:space="preserve">stop égal à l’entrée ; stop du mauvais côté ; devise étrangère avec fx horodaté ; frais nuls ; marge_gap active avant publication ou sur small cap ; quantité 1 dont le risque dépasse déjà le budget ; dépassement autorisé après validation explicite (l’avertissement et la justification sont historisés).</w:t>
      </w:r>
    </w:p>
    <w:p>
      <w:pPr>
        <w:pStyle w:val="Heading2"/>
        <w:spacing w:after="120" w:before="240"/>
      </w:pPr>
      <w:r>
        <w:t xml:space="preserve">7.3 Portfolio heat</w:t>
      </w:r>
    </w:p>
    <w:p>
      <w:pPr>
        <w:keepLines/>
        <w:shd w:fill="F5F5F5" w:val="clear"/>
        <w:spacing w:after="0" w:line="240"/>
        <w:ind w:left="160" w:right="160"/>
      </w:pPr>
      <w:r>
        <w:rPr>
          <w:rFonts w:ascii="Consolas" w:cs="Consolas" w:eastAsia="Consolas" w:hAnsi="Consolas"/>
          <w:sz w:val="17"/>
          <w:szCs w:val="17"/>
        </w:rPr>
        <w:t xml:space="preserve">heat_ligne         = max(0 ; (dernier_cours − stop) × quantite × fx)   # position longue</w:t>
      </w:r>
    </w:p>
    <w:p>
      <w:pPr>
        <w:keepLines/>
        <w:shd w:fill="F5F5F5" w:val="clear"/>
        <w:spacing w:after="0" w:line="240"/>
        <w:ind w:left="160" w:right="160"/>
      </w:pPr>
      <w:r>
        <w:rPr>
          <w:rFonts w:ascii="Consolas" w:cs="Consolas" w:eastAsia="Consolas" w:hAnsi="Consolas"/>
          <w:sz w:val="17"/>
          <w:szCs w:val="17"/>
        </w:rPr>
        <w:t xml:space="preserve">heat_portefeuille  = Σ heat_ligne  (positions ouvertes, tous comptes)</w:t>
      </w:r>
    </w:p>
    <w:p>
      <w:pPr>
        <w:keepLines/>
        <w:shd w:fill="F5F5F5" w:val="clear"/>
        <w:spacing w:after="0" w:line="240"/>
        <w:ind w:left="160" w:right="160"/>
      </w:pPr>
      <w:r>
        <w:rPr>
          <w:rFonts w:ascii="Consolas" w:cs="Consolas" w:eastAsia="Consolas" w:hAnsi="Consolas"/>
          <w:sz w:val="17"/>
          <w:szCs w:val="17"/>
        </w:rPr>
        <w:t xml:space="preserve">entrée autorisée si : heat_portefeuille + risque_initial ≤ heat_cap_actif</w:t>
      </w:r>
    </w:p>
    <w:p>
      <w:pPr>
        <w:keepLines/>
        <w:shd w:fill="F5F5F5" w:val="clear"/>
        <w:spacing w:after="120" w:line="240"/>
        <w:ind w:left="160" w:right="160"/>
      </w:pPr>
      <w:r>
        <w:rPr>
          <w:rFonts w:ascii="Consolas" w:cs="Consolas" w:eastAsia="Consolas" w:hAnsi="Consolas"/>
          <w:sz w:val="17"/>
          <w:szCs w:val="17"/>
        </w:rPr>
        <w:t xml:space="preserve">sinon : refus, ou proposition de taille réduite telle que la somme ≤ plafond</w:t>
      </w:r>
    </w:p>
    <w:p>
      <w:pPr>
        <w:spacing w:after="100" w:before="0" w:line="264"/>
      </w:pPr>
      <w:r>
        <w:t xml:space="preserve">heat_cap_actif = 1 400 € par défaut ; 700 € pendant une fenêtre no-go macro (§16). Une ligne dont le stop est au-dessus du dernier cours contribue 0 (gain verrouillé) mais reste comptée dans la concentration. Le heat est affiché en euros et en % du capital pilote (FR-202) ; l’écart avec la somme des risques résiduels doit rester inférieur à 1 € (REC de cohérence).</w:t>
      </w:r>
    </w:p>
    <w:p>
      <w:pPr>
        <w:pStyle w:val="Heading2"/>
        <w:spacing w:after="120" w:before="240"/>
      </w:pPr>
      <w:r>
        <w:t xml:space="preserve">7.4 Stress de gap</w:t>
      </w:r>
    </w:p>
    <w:p>
      <w:pPr>
        <w:keepLines/>
        <w:shd w:fill="F5F5F5" w:val="clear"/>
        <w:spacing w:after="120" w:line="240"/>
        <w:ind w:left="160" w:right="160"/>
      </w:pPr>
      <w:r>
        <w:rPr>
          <w:rFonts w:ascii="Consolas" w:cs="Consolas" w:eastAsia="Consolas" w:hAnsi="Consolas"/>
          <w:sz w:val="17"/>
          <w:szCs w:val="17"/>
        </w:rPr>
        <w:t xml:space="preserve">perte_gap(x) = quantite × dernier_cours × fx × x     # x ∈ {5 %, 10 %, personnalisé}</w:t>
      </w:r>
    </w:p>
    <w:p>
      <w:pPr>
        <w:spacing w:after="100" w:before="0" w:line="264"/>
      </w:pPr>
      <w:r>
        <w:t xml:space="preserve">Le stress de gap est indépendant du stop et affiché séparément : un stop n’est jamais présenté comme une garantie, car il est non exécutable sur un gap d’ouverture (enseignement structurel du projet). Le rapport affiche systématiquement les trois scénarios (FR-207).</w:t>
      </w:r>
    </w:p>
    <w:p>
      <w:pPr>
        <w:pStyle w:val="Heading2"/>
        <w:spacing w:after="120" w:before="240"/>
      </w:pPr>
      <w:r>
        <w:t xml:space="preserve">7.5 P/L, PRU et méthodes comptables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838"/>
      </w:tblGrid>
      <w:tr>
        <w:trPr>
          <w:tblHeader/>
        </w:trPr>
        <w:tc>
          <w:tcPr>
            <w:tcW w:type="dxa" w:w="1800"/>
            <w:shd w:fill="1F3864" w:val="clear"/>
            <w:tcMar>
              <w:top w:type="dxa" w:w="50"/>
              <w:left w:type="dxa" w:w="90"/>
              <w:bottom w:type="dxa" w:w="50"/>
              <w:right w:type="dxa" w:w="90"/>
            </w:tcMar>
            <w:vAlign w:val="center"/>
          </w:tcPr>
          <w:p>
            <w:pPr>
              <w:spacing w:after="0" w:line="240"/>
            </w:pPr>
            <w:r>
              <w:rPr>
                <w:b/>
                <w:bCs/>
                <w:color w:val="FFFFFF"/>
                <w:sz w:val="18"/>
                <w:szCs w:val="18"/>
              </w:rPr>
              <w:t xml:space="preserve">Mesure</w:t>
            </w:r>
          </w:p>
        </w:tc>
        <w:tc>
          <w:tcPr>
            <w:tcW w:type="dxa" w:w="7838"/>
            <w:shd w:fill="1F3864" w:val="clear"/>
            <w:tcMar>
              <w:top w:type="dxa" w:w="50"/>
              <w:left w:type="dxa" w:w="90"/>
              <w:bottom w:type="dxa" w:w="50"/>
              <w:right w:type="dxa" w:w="90"/>
            </w:tcMar>
            <w:vAlign w:val="center"/>
          </w:tcPr>
          <w:p>
            <w:pPr>
              <w:spacing w:after="0" w:line="240"/>
            </w:pPr>
            <w:r>
              <w:rPr>
                <w:b/>
                <w:bCs/>
                <w:color w:val="FFFFFF"/>
                <w:sz w:val="18"/>
                <w:szCs w:val="18"/>
              </w:rPr>
              <w:t xml:space="preserve">Règle</w:t>
            </w:r>
          </w:p>
        </w:tc>
      </w:tr>
      <w:tr>
        <w:tc>
          <w:tcPr>
            <w:tcW w:type="dxa" w:w="1800"/>
            <w:tcMar>
              <w:top w:type="dxa" w:w="50"/>
              <w:left w:type="dxa" w:w="90"/>
              <w:bottom w:type="dxa" w:w="50"/>
              <w:right w:type="dxa" w:w="90"/>
            </w:tcMar>
            <w:vAlign w:val="center"/>
          </w:tcPr>
          <w:p>
            <w:pPr>
              <w:spacing w:after="0" w:line="240"/>
            </w:pPr>
            <w:r>
              <w:rPr>
                <w:sz w:val="18"/>
                <w:szCs w:val="18"/>
              </w:rPr>
              <w:t xml:space="preserve">P/L courtier</w:t>
            </w:r>
          </w:p>
        </w:tc>
        <w:tc>
          <w:tcPr>
            <w:tcW w:type="dxa" w:w="7838"/>
            <w:tcMar>
              <w:top w:type="dxa" w:w="50"/>
              <w:left w:type="dxa" w:w="90"/>
              <w:bottom w:type="dxa" w:w="50"/>
              <w:right w:type="dxa" w:w="90"/>
            </w:tcMar>
            <w:vAlign w:val="center"/>
          </w:tcPr>
          <w:p>
            <w:pPr>
              <w:spacing w:after="0" w:line="240"/>
            </w:pPr>
            <w:r>
              <w:rPr>
                <w:sz w:val="18"/>
                <w:szCs w:val="18"/>
              </w:rPr>
              <w:t xml:space="preserve">Valeur importée conservée telle quelle, avec sa source.</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P/L normalisé</w:t>
            </w:r>
          </w:p>
        </w:tc>
        <w:tc>
          <w:tcPr>
            <w:tcW w:type="dxa" w:w="7838"/>
            <w:shd w:fill="F7F9FC" w:val="clear"/>
            <w:tcMar>
              <w:top w:type="dxa" w:w="50"/>
              <w:left w:type="dxa" w:w="90"/>
              <w:bottom w:type="dxa" w:w="50"/>
              <w:right w:type="dxa" w:w="90"/>
            </w:tcMar>
            <w:vAlign w:val="center"/>
          </w:tcPr>
          <w:p>
            <w:pPr>
              <w:spacing w:after="0" w:line="240"/>
            </w:pPr>
            <w:r>
              <w:rPr>
                <w:sz w:val="18"/>
                <w:szCs w:val="18"/>
              </w:rPr>
              <w:t xml:space="preserve">Recalcul interne : prix, quantité, frais directs, change, opérations sur titres.</w:t>
            </w:r>
          </w:p>
        </w:tc>
      </w:tr>
      <w:tr>
        <w:tc>
          <w:tcPr>
            <w:tcW w:type="dxa" w:w="1800"/>
            <w:tcMar>
              <w:top w:type="dxa" w:w="50"/>
              <w:left w:type="dxa" w:w="90"/>
              <w:bottom w:type="dxa" w:w="50"/>
              <w:right w:type="dxa" w:w="90"/>
            </w:tcMar>
            <w:vAlign w:val="center"/>
          </w:tcPr>
          <w:p>
            <w:pPr>
              <w:spacing w:after="0" w:line="240"/>
            </w:pPr>
            <w:r>
              <w:rPr>
                <w:sz w:val="18"/>
                <w:szCs w:val="18"/>
              </w:rPr>
              <w:t xml:space="preserve">PRU</w:t>
            </w:r>
          </w:p>
        </w:tc>
        <w:tc>
          <w:tcPr>
            <w:tcW w:type="dxa" w:w="7838"/>
            <w:tcMar>
              <w:top w:type="dxa" w:w="50"/>
              <w:left w:type="dxa" w:w="90"/>
              <w:bottom w:type="dxa" w:w="50"/>
              <w:right w:type="dxa" w:w="90"/>
            </w:tcMar>
            <w:vAlign w:val="center"/>
          </w:tcPr>
          <w:p>
            <w:pPr>
              <w:spacing w:after="0" w:line="240"/>
            </w:pPr>
            <w:r>
              <w:rPr>
                <w:sz w:val="18"/>
                <w:szCs w:val="18"/>
              </w:rPr>
              <w:t xml:space="preserve">PRU courtier conservé + prix moyen pondéré interne configurable.</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P/L réalisé</w:t>
            </w:r>
          </w:p>
        </w:tc>
        <w:tc>
          <w:tcPr>
            <w:tcW w:type="dxa" w:w="7838"/>
            <w:shd w:fill="F7F9FC" w:val="clear"/>
            <w:tcMar>
              <w:top w:type="dxa" w:w="50"/>
              <w:left w:type="dxa" w:w="90"/>
              <w:bottom w:type="dxa" w:w="50"/>
              <w:right w:type="dxa" w:w="90"/>
            </w:tcMar>
            <w:vAlign w:val="center"/>
          </w:tcPr>
          <w:p>
            <w:pPr>
              <w:spacing w:after="0" w:line="240"/>
            </w:pPr>
            <w:r>
              <w:rPr>
                <w:sz w:val="18"/>
                <w:szCs w:val="18"/>
              </w:rPr>
              <w:t xml:space="preserve">Produit net de cession − coût de revient − frais − financement SRD, détaillé par lot.</w:t>
            </w:r>
          </w:p>
        </w:tc>
      </w:tr>
      <w:tr>
        <w:tc>
          <w:tcPr>
            <w:tcW w:type="dxa" w:w="1800"/>
            <w:tcMar>
              <w:top w:type="dxa" w:w="50"/>
              <w:left w:type="dxa" w:w="90"/>
              <w:bottom w:type="dxa" w:w="50"/>
              <w:right w:type="dxa" w:w="90"/>
            </w:tcMar>
            <w:vAlign w:val="center"/>
          </w:tcPr>
          <w:p>
            <w:pPr>
              <w:spacing w:after="0" w:line="240"/>
            </w:pPr>
            <w:r>
              <w:rPr>
                <w:sz w:val="18"/>
                <w:szCs w:val="18"/>
              </w:rPr>
              <w:t xml:space="preserve">P/L latent</w:t>
            </w:r>
          </w:p>
        </w:tc>
        <w:tc>
          <w:tcPr>
            <w:tcW w:type="dxa" w:w="7838"/>
            <w:tcMar>
              <w:top w:type="dxa" w:w="50"/>
              <w:left w:type="dxa" w:w="90"/>
              <w:bottom w:type="dxa" w:w="50"/>
              <w:right w:type="dxa" w:w="90"/>
            </w:tcMar>
            <w:vAlign w:val="center"/>
          </w:tcPr>
          <w:p>
            <w:pPr>
              <w:spacing w:after="0" w:line="240"/>
            </w:pPr>
            <w:r>
              <w:rPr>
                <w:sz w:val="18"/>
                <w:szCs w:val="18"/>
              </w:rPr>
              <w:t xml:space="preserve">Valorisation au dernier cours − coût de revient ; effet titre séparé de l’effet change.</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Rendement</w:t>
            </w:r>
          </w:p>
        </w:tc>
        <w:tc>
          <w:tcPr>
            <w:tcW w:type="dxa" w:w="7838"/>
            <w:shd w:fill="F7F9FC" w:val="clear"/>
            <w:tcMar>
              <w:top w:type="dxa" w:w="50"/>
              <w:left w:type="dxa" w:w="90"/>
              <w:bottom w:type="dxa" w:w="50"/>
              <w:right w:type="dxa" w:w="90"/>
            </w:tcMar>
            <w:vAlign w:val="center"/>
          </w:tcPr>
          <w:p>
            <w:pPr>
              <w:spacing w:after="0" w:line="240"/>
            </w:pPr>
            <w:r>
              <w:rPr>
                <w:sz w:val="18"/>
                <w:szCs w:val="18"/>
              </w:rPr>
              <w:t xml:space="preserve">TWR pour juger la gestion ; XIRR/MWR pour le rendement de l’investisseur.</w:t>
            </w:r>
          </w:p>
        </w:tc>
      </w:tr>
      <w:tr>
        <w:tc>
          <w:tcPr>
            <w:tcW w:type="dxa" w:w="1800"/>
            <w:tcMar>
              <w:top w:type="dxa" w:w="50"/>
              <w:left w:type="dxa" w:w="90"/>
              <w:bottom w:type="dxa" w:w="50"/>
              <w:right w:type="dxa" w:w="90"/>
            </w:tcMar>
            <w:vAlign w:val="center"/>
          </w:tcPr>
          <w:p>
            <w:pPr>
              <w:spacing w:after="0" w:line="240"/>
            </w:pPr>
            <w:r>
              <w:rPr>
                <w:sz w:val="18"/>
                <w:szCs w:val="18"/>
              </w:rPr>
              <w:t xml:space="preserve">Dividendes / OST</w:t>
            </w:r>
          </w:p>
        </w:tc>
        <w:tc>
          <w:tcPr>
            <w:tcW w:type="dxa" w:w="7838"/>
            <w:tcMar>
              <w:top w:type="dxa" w:w="50"/>
              <w:left w:type="dxa" w:w="90"/>
              <w:bottom w:type="dxa" w:w="50"/>
              <w:right w:type="dxa" w:w="90"/>
            </w:tcMar>
            <w:vAlign w:val="center"/>
          </w:tcPr>
          <w:p>
            <w:pPr>
              <w:spacing w:after="0" w:line="240"/>
            </w:pPr>
            <w:r>
              <w:rPr>
                <w:sz w:val="18"/>
                <w:szCs w:val="18"/>
              </w:rPr>
              <w:t xml:space="preserve">Dividendes, actions gratuites, splits et remboursements comptabilisés séparément, sans faux achat.</w:t>
            </w:r>
          </w:p>
        </w:tc>
      </w:tr>
    </w:tbl>
    <w:p>
      <w:pPr>
        <w:spacing w:after="60" w:before="0" w:line="264"/>
      </w:pPr>
      <w:r>
        <w:t xml:space="preserve"> </w:t>
      </w:r>
    </w:p>
    <w:p>
      <w:pPr>
        <w:spacing w:after="100" w:before="0" w:line="264"/>
      </w:pPr>
      <w:r>
        <w:rPr>
          <w:b/>
          <w:bCs/>
        </w:rPr>
        <w:t xml:space="preserve">Écart de rapprochement toléré avec le courtier : </w:t>
      </w:r>
      <w:r>
        <w:t xml:space="preserve">1 € ou 0,1 % (le plus favorable), paramétrable. Tout écart supérieur génère une anomalie à résoudre avant de déclarer la base comme référence.</w:t>
      </w:r>
    </w:p>
    <w:p>
      <w:pPr>
        <w:pStyle w:val="Heading2"/>
        <w:spacing w:after="120" w:before="240"/>
      </w:pPr>
      <w:r>
        <w:t xml:space="preserve">7.6 Évaluation rétrospective des scénarios (MFE / MAE)</w:t>
      </w:r>
    </w:p>
    <w:p>
      <w:pPr>
        <w:pStyle w:val="ListParagraph"/>
        <w:numPr>
          <w:ilvl w:val="0"/>
          <w:numId w:val="2"/>
        </w:numPr>
        <w:spacing w:after="60" w:line="264"/>
      </w:pPr>
      <w:r>
        <w:t xml:space="preserve">Gel du scénario à sa date de publication : entrée, stop, objectifs, score, sources, contexte ; aucune information postérieure ne modifie rétroactivement le score initial.</w:t>
      </w:r>
    </w:p>
    <w:p>
      <w:pPr>
        <w:pStyle w:val="ListParagraph"/>
        <w:numPr>
          <w:ilvl w:val="0"/>
          <w:numId w:val="2"/>
        </w:numPr>
        <w:spacing w:after="60" w:line="264"/>
      </w:pPr>
      <w:r>
        <w:t xml:space="preserve">Évolution mesurée à D+1, D+5, D+20, D+60 et jusqu’à expiration ou clôture.</w:t>
      </w:r>
    </w:p>
    <w:p>
      <w:pPr>
        <w:pStyle w:val="ListParagraph"/>
        <w:numPr>
          <w:ilvl w:val="0"/>
          <w:numId w:val="2"/>
        </w:numPr>
        <w:spacing w:after="60" w:line="264"/>
      </w:pPr>
      <w:r>
        <w:t xml:space="preserve">MFE et MAE calculés sur les plus hauts et plus bas quotidiens.</w:t>
      </w:r>
    </w:p>
    <w:p>
      <w:pPr>
        <w:pStyle w:val="ListParagraph"/>
        <w:numPr>
          <w:ilvl w:val="0"/>
          <w:numId w:val="2"/>
        </w:numPr>
        <w:spacing w:after="60" w:line="264"/>
      </w:pPr>
      <w:r>
        <w:t xml:space="preserve">Si stop ET objectif sont touchés le même jour sans données intraday : résultat « ambigu », convention conservatrice « stop réputé touché en premier », comptabilisé séparément dans les statistiques.</w:t>
      </w:r>
    </w:p>
    <w:p>
      <w:pPr>
        <w:pStyle w:val="ListParagraph"/>
        <w:numPr>
          <w:ilvl w:val="0"/>
          <w:numId w:val="2"/>
        </w:numPr>
        <w:spacing w:after="60" w:line="264"/>
      </w:pPr>
      <w:r>
        <w:t xml:space="preserve">Rendement mesuré en unités de risque (R) et comparé au benchmark approprié.</w:t>
      </w:r>
    </w:p>
    <w:p>
      <w:pPr>
        <w:pStyle w:val="Heading2"/>
        <w:spacing w:after="120" w:before="240"/>
      </w:pPr>
      <w:r>
        <w:t xml:space="preserve">7.7 Accélération du DCA</w:t>
      </w:r>
    </w:p>
    <w:p>
      <w:pPr>
        <w:keepLines/>
        <w:shd w:fill="F5F5F5" w:val="clear"/>
        <w:spacing w:after="0" w:line="240"/>
        <w:ind w:left="160" w:right="160"/>
      </w:pPr>
      <w:r>
        <w:rPr>
          <w:rFonts w:ascii="Consolas" w:cs="Consolas" w:eastAsia="Consolas" w:hAnsi="Consolas"/>
          <w:sz w:val="17"/>
          <w:szCs w:val="17"/>
        </w:rPr>
        <w:t xml:space="preserve">drawdown = dernier_cloture / plus_haut_cloture_glissant(52 semaines) − 1</w:t>
      </w:r>
    </w:p>
    <w:p>
      <w:pPr>
        <w:keepLines/>
        <w:shd w:fill="F5F5F5" w:val="clear"/>
        <w:spacing w:after="0" w:line="240"/>
        <w:ind w:left="160" w:right="160"/>
      </w:pPr>
      <w:r>
        <w:rPr>
          <w:rFonts w:ascii="Consolas" w:cs="Consolas" w:eastAsia="Consolas" w:hAnsi="Consolas"/>
          <w:sz w:val="17"/>
          <w:szCs w:val="17"/>
        </w:rPr>
        <w:t xml:space="preserve">si drawdown ≤ −15 % en clôture confirmée (jamais en séance) :</w:t>
      </w:r>
    </w:p>
    <w:p>
      <w:pPr>
        <w:keepLines/>
        <w:shd w:fill="F5F5F5" w:val="clear"/>
        <w:spacing w:after="0" w:line="240"/>
        <w:ind w:left="160" w:right="160"/>
      </w:pPr>
      <w:r>
        <w:rPr>
          <w:rFonts w:ascii="Consolas" w:cs="Consolas" w:eastAsia="Consolas" w:hAnsi="Consolas"/>
          <w:sz w:val="17"/>
          <w:szCs w:val="17"/>
        </w:rPr>
        <w:t xml:space="preserve">    doubler les 2 prochaines échéances du plan, puis retour au montant nominal</w:t>
      </w:r>
    </w:p>
    <w:p>
      <w:pPr>
        <w:keepLines/>
        <w:shd w:fill="F5F5F5" w:val="clear"/>
        <w:spacing w:after="0" w:line="240"/>
        <w:ind w:left="160" w:right="160"/>
      </w:pPr>
      <w:r>
        <w:rPr>
          <w:rFonts w:ascii="Consolas" w:cs="Consolas" w:eastAsia="Consolas" w:hAnsi="Consolas"/>
          <w:sz w:val="17"/>
          <w:szCs w:val="17"/>
        </w:rPr>
        <w:t xml:space="preserve">règles : aucune application rétroactive ; une seule accélération par épisode</w:t>
      </w:r>
    </w:p>
    <w:p>
      <w:pPr>
        <w:keepLines/>
        <w:shd w:fill="F5F5F5" w:val="clear"/>
        <w:spacing w:after="120" w:line="240"/>
        <w:ind w:left="160" w:right="160"/>
      </w:pPr>
      <w:r>
        <w:rPr>
          <w:rFonts w:ascii="Consolas" w:cs="Consolas" w:eastAsia="Consolas" w:hAnsi="Consolas"/>
          <w:sz w:val="17"/>
          <w:szCs w:val="17"/>
        </w:rPr>
        <w:t xml:space="preserve">        de drawdown (réarmement après retour au-dessus de −15 %)</w:t>
      </w:r>
    </w:p>
    <w:p>
      <w:pPr>
        <w:pStyle w:val="Heading2"/>
        <w:spacing w:after="120" w:before="240"/>
      </w:pPr>
      <w:r>
        <w:t xml:space="preserve">7.8 Change : conversion, décomposition du P/L et exposition</w:t>
      </w:r>
    </w:p>
    <w:p>
      <w:pPr>
        <w:keepLines/>
        <w:shd w:fill="F5F5F5" w:val="clear"/>
        <w:spacing w:after="0" w:line="240"/>
        <w:ind w:left="160" w:right="160"/>
      </w:pPr>
      <w:r>
        <w:rPr>
          <w:rFonts w:ascii="Consolas" w:cs="Consolas" w:eastAsia="Consolas" w:hAnsi="Consolas"/>
          <w:sz w:val="17"/>
          <w:szCs w:val="17"/>
        </w:rPr>
        <w:t xml:space="preserve"># tout montant est converti en EUR au taux horodaté de l’événement, jamais au taux du jour</w:t>
      </w:r>
    </w:p>
    <w:p>
      <w:pPr>
        <w:keepLines/>
        <w:shd w:fill="F5F5F5" w:val="clear"/>
        <w:spacing w:after="0" w:line="240"/>
        <w:ind w:left="160" w:right="160"/>
      </w:pPr>
      <w:r>
        <w:rPr>
          <w:rFonts w:ascii="Consolas" w:cs="Consolas" w:eastAsia="Consolas" w:hAnsi="Consolas"/>
          <w:sz w:val="17"/>
          <w:szCs w:val="17"/>
        </w:rPr>
        <w:t xml:space="preserve">valeur_eur       = valeur_devise × fx(devise→EUR, horodatage)</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décomposition exacte du P/L d’une position libellée en devise étrangère</w:t>
      </w:r>
    </w:p>
    <w:p>
      <w:pPr>
        <w:keepLines/>
        <w:shd w:fill="F5F5F5" w:val="clear"/>
        <w:spacing w:after="0" w:line="240"/>
        <w:ind w:left="160" w:right="160"/>
      </w:pPr>
      <w:r>
        <w:rPr>
          <w:rFonts w:ascii="Consolas" w:cs="Consolas" w:eastAsia="Consolas" w:hAnsi="Consolas"/>
          <w:sz w:val="17"/>
          <w:szCs w:val="17"/>
        </w:rPr>
        <w:t xml:space="preserve">pl_titre_eur     = quantite × (cours_t − cours_entree) × fx_entree</w:t>
      </w:r>
    </w:p>
    <w:p>
      <w:pPr>
        <w:keepLines/>
        <w:shd w:fill="F5F5F5" w:val="clear"/>
        <w:spacing w:after="0" w:line="240"/>
        <w:ind w:left="160" w:right="160"/>
      </w:pPr>
      <w:r>
        <w:rPr>
          <w:rFonts w:ascii="Consolas" w:cs="Consolas" w:eastAsia="Consolas" w:hAnsi="Consolas"/>
          <w:sz w:val="17"/>
          <w:szCs w:val="17"/>
        </w:rPr>
        <w:t xml:space="preserve">pl_change_eur    = quantite × cours_t × (fx_t − fx_entree)</w:t>
      </w:r>
    </w:p>
    <w:p>
      <w:pPr>
        <w:keepLines/>
        <w:shd w:fill="F5F5F5" w:val="clear"/>
        <w:spacing w:after="0" w:line="240"/>
        <w:ind w:left="160" w:right="160"/>
      </w:pPr>
      <w:r>
        <w:rPr>
          <w:rFonts w:ascii="Consolas" w:cs="Consolas" w:eastAsia="Consolas" w:hAnsi="Consolas"/>
          <w:sz w:val="17"/>
          <w:szCs w:val="17"/>
        </w:rPr>
        <w:t xml:space="preserve">pl_total_eur     = pl_titre_eur + pl_change_eur</w:t>
      </w:r>
    </w:p>
    <w:p>
      <w:pPr>
        <w:keepLines/>
        <w:shd w:fill="F5F5F5" w:val="clear"/>
        <w:spacing w:after="0" w:line="240"/>
        <w:ind w:left="160" w:right="160"/>
      </w:pPr>
      <w:r>
        <w:rPr>
          <w:rFonts w:ascii="Consolas" w:cs="Consolas" w:eastAsia="Consolas" w:hAnsi="Consolas"/>
          <w:sz w:val="17"/>
          <w:szCs w:val="17"/>
        </w:rPr>
        <w:t xml:space="preserve">                 = quantite × (cours_t × fx_t − cours_entree × fx_entree)   # identité vérifiée par test</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exposition et stress de change (indépendants du stress de gap §7.4)</w:t>
      </w:r>
    </w:p>
    <w:p>
      <w:pPr>
        <w:keepLines/>
        <w:shd w:fill="F5F5F5" w:val="clear"/>
        <w:spacing w:after="0" w:line="240"/>
        <w:ind w:left="160" w:right="160"/>
      </w:pPr>
      <w:r>
        <w:rPr>
          <w:rFonts w:ascii="Consolas" w:cs="Consolas" w:eastAsia="Consolas" w:hAnsi="Consolas"/>
          <w:sz w:val="17"/>
          <w:szCs w:val="17"/>
        </w:rPr>
        <w:t xml:space="preserve">exposition(dev)  = Σ valeur_marche_eur des lignes libellées en dev</w:t>
      </w:r>
    </w:p>
    <w:p>
      <w:pPr>
        <w:keepLines/>
        <w:shd w:fill="F5F5F5" w:val="clear"/>
        <w:spacing w:after="0" w:line="240"/>
        <w:ind w:left="160" w:right="160"/>
      </w:pPr>
      <w:r>
        <w:rPr>
          <w:rFonts w:ascii="Consolas" w:cs="Consolas" w:eastAsia="Consolas" w:hAnsi="Consolas"/>
          <w:sz w:val="17"/>
          <w:szCs w:val="17"/>
        </w:rPr>
        <w:t xml:space="preserve">stress_fx(dev,x) = exposition(dev) × x        # x ∈ {−5 % ; −10 %}</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le risque et le heat sont toujours exprimés en EUR au taux courant</w:t>
      </w:r>
    </w:p>
    <w:p>
      <w:pPr>
        <w:keepLines/>
        <w:shd w:fill="F5F5F5" w:val="clear"/>
        <w:spacing w:after="120" w:line="240"/>
        <w:ind w:left="160" w:right="160"/>
      </w:pPr>
      <w:r>
        <w:rPr>
          <w:rFonts w:ascii="Consolas" w:cs="Consolas" w:eastAsia="Consolas" w:hAnsi="Consolas"/>
          <w:sz w:val="17"/>
          <w:szCs w:val="17"/>
        </w:rPr>
        <w:t xml:space="preserve">risque_eur       = quantite × |prix_entree − stop| × fx_courant</w:t>
      </w:r>
    </w:p>
    <w:p>
      <w:pPr>
        <w:spacing w:after="100" w:before="0" w:line="264"/>
      </w:pPr>
      <w:r>
        <w:rPr>
          <w:b/>
          <w:bCs/>
        </w:rPr>
        <w:t xml:space="preserve">Cas limites à tester : </w:t>
      </w:r>
      <w:r>
        <w:t xml:space="preserve">taux absent à la date d’une opération (reprise du dernier taux connu, marqué « estimé », jamais interpolé) ; entrée et sortie le même jour ; compte libellé dans une devise autre que l’euro ; devise dont la cotation est inversée (USD/EUR vs EUR/USD) ; vérification systématique de l’identité pl_titre + pl_change = pl_total à 0,01 € près, y compris après plusieurs renforts.</w:t>
      </w:r>
    </w:p>
    <w:p>
      <w:pPr>
        <w:pStyle w:val="Heading2"/>
        <w:spacing w:after="120" w:before="240"/>
      </w:pPr>
      <w:r>
        <w:t xml:space="preserve">7.9 Sessions de marché, fuseaux horaires et heure d’été</w:t>
      </w:r>
    </w:p>
    <w:p>
      <w:pPr>
        <w:keepLines/>
        <w:shd w:fill="F5F5F5" w:val="clear"/>
        <w:spacing w:after="0" w:line="240"/>
        <w:ind w:left="160" w:right="160"/>
      </w:pPr>
      <w:r>
        <w:rPr>
          <w:rFonts w:ascii="Consolas" w:cs="Consolas" w:eastAsia="Consolas" w:hAnsi="Consolas"/>
          <w:sz w:val="17"/>
          <w:szCs w:val="17"/>
        </w:rPr>
        <w:t xml:space="preserve"># une place possède : MIC, fuseau IANA, ouverture et clôture locales,</w:t>
      </w:r>
    </w:p>
    <w:p>
      <w:pPr>
        <w:keepLines/>
        <w:shd w:fill="F5F5F5" w:val="clear"/>
        <w:spacing w:after="0" w:line="240"/>
        <w:ind w:left="160" w:right="160"/>
      </w:pPr>
      <w:r>
        <w:rPr>
          <w:rFonts w:ascii="Consolas" w:cs="Consolas" w:eastAsia="Consolas" w:hAnsi="Consolas"/>
          <w:sz w:val="17"/>
          <w:szCs w:val="17"/>
        </w:rPr>
        <w:t xml:space="preserve"># jours fériés, demi-séances. Aucune heure n’est stockée « en heure de Paris ».</w:t>
      </w:r>
    </w:p>
    <w:p>
      <w:pPr>
        <w:keepLines/>
        <w:shd w:fill="F5F5F5" w:val="clear"/>
        <w:spacing w:after="0" w:line="240"/>
        <w:ind w:left="160" w:right="160"/>
      </w:pPr>
      <w:r>
        <w:rPr>
          <w:rFonts w:ascii="Consolas" w:cs="Consolas" w:eastAsia="Consolas" w:hAnsi="Consolas"/>
          <w:sz w:val="17"/>
          <w:szCs w:val="17"/>
        </w:rPr>
        <w:t xml:space="preserve">ouvert(place, t) = jour_ouvre(place, t)</w:t>
      </w:r>
    </w:p>
    <w:p>
      <w:pPr>
        <w:keepLines/>
        <w:shd w:fill="F5F5F5" w:val="clear"/>
        <w:spacing w:after="0" w:line="240"/>
        <w:ind w:left="160" w:right="160"/>
      </w:pPr>
      <w:r>
        <w:rPr>
          <w:rFonts w:ascii="Consolas" w:cs="Consolas" w:eastAsia="Consolas" w:hAnsi="Consolas"/>
          <w:sz w:val="17"/>
          <w:szCs w:val="17"/>
        </w:rPr>
        <w:t xml:space="preserve">                   ET heure_locale(place, t) ∈ [ouverture(place, t) ; cloture(place, t)]</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les règles exprimées en heure de Paris sont CONVERTIES à la date du jour,</w:t>
      </w:r>
    </w:p>
    <w:p>
      <w:pPr>
        <w:keepLines/>
        <w:shd w:fill="F5F5F5" w:val="clear"/>
        <w:spacing w:after="0" w:line="240"/>
        <w:ind w:left="160" w:right="160"/>
      </w:pPr>
      <w:r>
        <w:rPr>
          <w:rFonts w:ascii="Consolas" w:cs="Consolas" w:eastAsia="Consolas" w:hAnsi="Consolas"/>
          <w:sz w:val="17"/>
          <w:szCs w:val="17"/>
        </w:rPr>
        <w:t xml:space="preserve"># jamais recopiées en heure fixe :</w:t>
      </w:r>
    </w:p>
    <w:p>
      <w:pPr>
        <w:keepLines/>
        <w:shd w:fill="F5F5F5" w:val="clear"/>
        <w:spacing w:after="0" w:line="240"/>
        <w:ind w:left="160" w:right="160"/>
      </w:pPr>
      <w:r>
        <w:rPr>
          <w:rFonts w:ascii="Consolas" w:cs="Consolas" w:eastAsia="Consolas" w:hAnsi="Consolas"/>
          <w:sz w:val="17"/>
          <w:szCs w:val="17"/>
        </w:rPr>
        <w:t xml:space="preserve">#   « pas d’entrée entre 14h00 Paris et la clôture US un jour de décision Fed »</w:t>
      </w:r>
    </w:p>
    <w:p>
      <w:pPr>
        <w:keepLines/>
        <w:shd w:fill="F5F5F5" w:val="clear"/>
        <w:spacing w:after="0" w:line="240"/>
        <w:ind w:left="160" w:right="160"/>
      </w:pPr>
      <w:r>
        <w:rPr>
          <w:rFonts w:ascii="Consolas" w:cs="Consolas" w:eastAsia="Consolas" w:hAnsi="Consolas"/>
          <w:sz w:val="17"/>
          <w:szCs w:val="17"/>
        </w:rPr>
        <w:t xml:space="preserve">#   → intervalle [14h00 Europe/Paris ; cloture(XNAS, jour) America/New_York]</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écart Paris ↔ New York : 6 h en régime normal, mais 5 h ou 7 h pendant les</w:t>
      </w:r>
    </w:p>
    <w:p>
      <w:pPr>
        <w:keepLines/>
        <w:shd w:fill="F5F5F5" w:val="clear"/>
        <w:spacing w:after="0" w:line="240"/>
        <w:ind w:left="160" w:right="160"/>
      </w:pPr>
      <w:r>
        <w:rPr>
          <w:rFonts w:ascii="Consolas" w:cs="Consolas" w:eastAsia="Consolas" w:hAnsi="Consolas"/>
          <w:sz w:val="17"/>
          <w:szCs w:val="17"/>
        </w:rPr>
        <w:t xml:space="preserve"># fenêtres de désynchronisation des changements d’heure (mi-mars, fin octobre).</w:t>
      </w:r>
    </w:p>
    <w:p>
      <w:pPr>
        <w:keepLines/>
        <w:shd w:fill="F5F5F5" w:val="clear"/>
        <w:spacing w:after="120" w:line="240"/>
        <w:ind w:left="160" w:right="160"/>
      </w:pPr>
      <w:r>
        <w:rPr>
          <w:rFonts w:ascii="Consolas" w:cs="Consolas" w:eastAsia="Consolas" w:hAnsi="Consolas"/>
          <w:sz w:val="17"/>
          <w:szCs w:val="17"/>
        </w:rPr>
        <w:t xml:space="preserve"># L’ouverture américaine tombe alors à 14h30 ou 16h30 heure de Paris.</w:t>
      </w:r>
    </w:p>
    <w:p>
      <w:pPr>
        <w:spacing w:after="100" w:before="0" w:line="264"/>
      </w:pPr>
      <w:r>
        <w:rPr>
          <w:b/>
          <w:bCs/>
        </w:rPr>
        <w:t xml:space="preserve">Cas limites à tester : </w:t>
      </w:r>
      <w:r>
        <w:t xml:space="preserve">décision Fed tombant dans une fenêtre de désynchronisation (l’ouverture américaine à 14h30 Paris rend la règle « 14h00 » immédiatement bloquante) ; jour férié américain avec Europe ouverte, et l’inverse ; demi-séance de clôture anticipée ; ordre horodaté pendant une heure qui n’existe pas ou qui existe deux fois lors du changement d’heure local ; alignement de deux séries de places différentes sur un même graphique, sans report silencieux de la dernière valeur connue.</w:t>
      </w:r>
    </w:p>
    <w:p>
      <w:pPr>
        <w:pStyle w:val="Heading2"/>
        <w:spacing w:after="120" w:before="240"/>
      </w:pPr>
      <w:r>
        <w:t xml:space="preserve">7.10 Remontée des stops, allègements et rotation</w:t>
      </w:r>
    </w:p>
    <w:p>
      <w:pPr>
        <w:spacing w:after="100" w:before="0" w:line="264"/>
      </w:pPr>
      <w:r>
        <w:t xml:space="preserve">Ces règles régissent l’étape la plus fréquente du système : la remontée des stops lors du rituel 2–3 fois par semaine (§6.16). Elles complètent le pyramiding (§6.10), qui ne couvre que les positions renforcées. Toutes les valeurs numériques sont paramétrables et versionnées (§16).</w:t>
      </w:r>
    </w:p>
    <w:p>
      <w:pPr>
        <w:spacing w:after="100" w:before="0" w:line="264"/>
      </w:pPr>
      <w:r>
        <w:rPr>
          <w:b/>
          <w:bCs/>
        </w:rPr>
        <w:t xml:space="preserve">a) Remontée du stop d’une position gagnante</w:t>
      </w:r>
    </w:p>
    <w:p>
      <w:pPr>
        <w:keepLines/>
        <w:shd w:fill="F5F5F5" w:val="clear"/>
        <w:spacing w:after="0" w:line="240"/>
        <w:ind w:left="160" w:right="160"/>
      </w:pPr>
      <w:r>
        <w:rPr>
          <w:rFonts w:ascii="Consolas" w:cs="Consolas" w:eastAsia="Consolas" w:hAnsi="Consolas"/>
          <w:sz w:val="17"/>
          <w:szCs w:val="17"/>
        </w:rPr>
        <w:t xml:space="preserve"># appliquée à chaque session, à toute ligne en gain latent</w:t>
      </w:r>
    </w:p>
    <w:p>
      <w:pPr>
        <w:keepLines/>
        <w:shd w:fill="F5F5F5" w:val="clear"/>
        <w:spacing w:after="0" w:line="240"/>
        <w:ind w:left="160" w:right="160"/>
      </w:pPr>
      <w:r>
        <w:rPr>
          <w:rFonts w:ascii="Consolas" w:cs="Consolas" w:eastAsia="Consolas" w:hAnsi="Consolas"/>
          <w:sz w:val="17"/>
          <w:szCs w:val="17"/>
        </w:rPr>
        <w:t xml:space="preserve">creux = dernier_creux_de_consolidation(cours, n_seances)      # défaut n = 10</w:t>
      </w:r>
    </w:p>
    <w:p>
      <w:pPr>
        <w:keepLines/>
        <w:shd w:fill="F5F5F5" w:val="clear"/>
        <w:spacing w:after="0" w:line="240"/>
        <w:ind w:left="160" w:right="160"/>
      </w:pPr>
      <w:r>
        <w:rPr>
          <w:rFonts w:ascii="Consolas" w:cs="Consolas" w:eastAsia="Consolas" w:hAnsi="Consolas"/>
          <w:sz w:val="17"/>
          <w:szCs w:val="17"/>
        </w:rPr>
        <w:t xml:space="preserve">si creux identifiable et (dernier_cours − creux) / dernier_cours ≤ marge_max :</w:t>
      </w:r>
    </w:p>
    <w:p>
      <w:pPr>
        <w:keepLines/>
        <w:shd w:fill="F5F5F5" w:val="clear"/>
        <w:spacing w:after="0" w:line="240"/>
        <w:ind w:left="160" w:right="160"/>
      </w:pPr>
      <w:r>
        <w:rPr>
          <w:rFonts w:ascii="Consolas" w:cs="Consolas" w:eastAsia="Consolas" w:hAnsi="Consolas"/>
          <w:sz w:val="17"/>
          <w:szCs w:val="17"/>
        </w:rPr>
        <w:t xml:space="preserve">    stop_propose = creux × (1 − tampon)        # tampon anti-mèche, défaut 0,5 %</w:t>
      </w:r>
    </w:p>
    <w:p>
      <w:pPr>
        <w:keepLines/>
        <w:shd w:fill="F5F5F5" w:val="clear"/>
        <w:spacing w:after="0" w:line="240"/>
        <w:ind w:left="160" w:right="160"/>
      </w:pPr>
      <w:r>
        <w:rPr>
          <w:rFonts w:ascii="Consolas" w:cs="Consolas" w:eastAsia="Consolas" w:hAnsi="Consolas"/>
          <w:sz w:val="17"/>
          <w:szCs w:val="17"/>
        </w:rPr>
        <w:t xml:space="preserve">sinon :</w:t>
      </w:r>
    </w:p>
    <w:p>
      <w:pPr>
        <w:keepLines/>
        <w:shd w:fill="F5F5F5" w:val="clear"/>
        <w:spacing w:after="0" w:line="240"/>
        <w:ind w:left="160" w:right="160"/>
      </w:pPr>
      <w:r>
        <w:rPr>
          <w:rFonts w:ascii="Consolas" w:cs="Consolas" w:eastAsia="Consolas" w:hAnsi="Consolas"/>
          <w:sz w:val="17"/>
          <w:szCs w:val="17"/>
        </w:rPr>
        <w:t xml:space="preserve">    stop_propose = dernier_cours × (1 − marge_suiveuse)   # défaut 6 %, bande 5–7 %</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stop_retenu = max(stop_actuel ; stop_propose)   # INVARIANT : un stop ne descend jamais</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si stop_retenu ≥ cours_entree et stop_actuel &lt; cours_entree :</w:t>
      </w:r>
    </w:p>
    <w:p>
      <w:pPr>
        <w:keepLines/>
        <w:shd w:fill="F5F5F5" w:val="clear"/>
        <w:spacing w:after="120" w:line="240"/>
        <w:ind w:left="160" w:right="160"/>
      </w:pPr>
      <w:r>
        <w:rPr>
          <w:rFonts w:ascii="Consolas" w:cs="Consolas" w:eastAsia="Consolas" w:hAnsi="Consolas"/>
          <w:sz w:val="17"/>
          <w:szCs w:val="17"/>
        </w:rPr>
        <w:t xml:space="preserve">    marquer « point mort atteint » → risque résiduel nul, heat de la ligne = 0</w:t>
      </w:r>
    </w:p>
    <w:p>
      <w:pPr>
        <w:spacing w:after="100" w:before="0" w:line="264"/>
      </w:pPr>
      <w:r>
        <w:rPr>
          <w:b/>
          <w:bCs/>
        </w:rPr>
        <w:t xml:space="preserve">b) Cliquet sur les objectifs Momentum</w:t>
      </w:r>
    </w:p>
    <w:p>
      <w:pPr>
        <w:keepLines/>
        <w:shd w:fill="F5F5F5" w:val="clear"/>
        <w:spacing w:after="0" w:line="240"/>
        <w:ind w:left="160" w:right="160"/>
      </w:pPr>
      <w:r>
        <w:rPr>
          <w:rFonts w:ascii="Consolas" w:cs="Consolas" w:eastAsia="Consolas" w:hAnsi="Consolas"/>
          <w:sz w:val="17"/>
          <w:szCs w:val="17"/>
        </w:rPr>
        <w:t xml:space="preserve">à chaque objectif_k atteint EN CLÔTURE :</w:t>
      </w:r>
    </w:p>
    <w:p>
      <w:pPr>
        <w:keepLines/>
        <w:shd w:fill="F5F5F5" w:val="clear"/>
        <w:spacing w:after="0" w:line="240"/>
        <w:ind w:left="160" w:right="160"/>
      </w:pPr>
      <w:r>
        <w:rPr>
          <w:rFonts w:ascii="Consolas" w:cs="Consolas" w:eastAsia="Consolas" w:hAnsi="Consolas"/>
          <w:sz w:val="17"/>
          <w:szCs w:val="17"/>
        </w:rPr>
        <w:t xml:space="preserve">    si k = 1 : stop_retenu = max(stop_actuel ; cours_entree)        # point mort</w:t>
      </w:r>
    </w:p>
    <w:p>
      <w:pPr>
        <w:keepLines/>
        <w:shd w:fill="F5F5F5" w:val="clear"/>
        <w:spacing w:after="0" w:line="240"/>
        <w:ind w:left="160" w:right="160"/>
      </w:pPr>
      <w:r>
        <w:rPr>
          <w:rFonts w:ascii="Consolas" w:cs="Consolas" w:eastAsia="Consolas" w:hAnsi="Consolas"/>
          <w:sz w:val="17"/>
          <w:szCs w:val="17"/>
        </w:rPr>
        <w:t xml:space="preserve">    si k ≥ 2 : stop_retenu = max(stop_actuel ; objectif_(k−1))      # palier verrouillé</w:t>
      </w:r>
    </w:p>
    <w:p>
      <w:pPr>
        <w:keepLines/>
        <w:shd w:fill="F5F5F5" w:val="clear"/>
        <w:spacing w:after="0" w:line="240"/>
        <w:ind w:left="160" w:right="160"/>
      </w:pPr>
      <w:r>
        <w:rPr>
          <w:rFonts w:ascii="Consolas" w:cs="Consolas" w:eastAsia="Consolas" w:hAnsi="Consolas"/>
          <w:sz w:val="17"/>
          <w:szCs w:val="17"/>
        </w:rPr>
        <w:t xml:space="preserve">    allègement proposé = fraction_k × quantite_restante</w:t>
      </w:r>
    </w:p>
    <w:p>
      <w:pPr>
        <w:keepLines/>
        <w:shd w:fill="F5F5F5" w:val="clear"/>
        <w:spacing w:after="0" w:line="240"/>
        <w:ind w:left="160" w:right="160"/>
      </w:pPr>
      <w:r>
        <w:rPr>
          <w:rFonts w:ascii="Consolas" w:cs="Consolas" w:eastAsia="Consolas" w:hAnsi="Consolas"/>
          <w:sz w:val="17"/>
          <w:szCs w:val="17"/>
        </w:rPr>
        <w:t xml:space="preserve">        défaut : 1/3 à l’objectif 1, 1/3 à l’objectif 2, solde piloté au stop suiveur</w:t>
      </w:r>
    </w:p>
    <w:p>
      <w:pPr>
        <w:keepLines/>
        <w:shd w:fill="F5F5F5" w:val="clear"/>
        <w:spacing w:after="120" w:line="240"/>
        <w:ind w:left="160" w:right="160"/>
      </w:pPr>
      <w:r>
        <w:rPr>
          <w:rFonts w:ascii="Consolas" w:cs="Consolas" w:eastAsia="Consolas" w:hAnsi="Consolas"/>
          <w:sz w:val="17"/>
          <w:szCs w:val="17"/>
        </w:rPr>
        <w:t xml:space="preserve">L’allègement est PROPOSÉ, jamais exécuté ni présumé accepté.</w:t>
      </w:r>
    </w:p>
    <w:p>
      <w:pPr>
        <w:spacing w:after="100" w:before="0" w:line="264"/>
      </w:pPr>
      <w:r>
        <w:rPr>
          <w:b/>
          <w:bCs/>
        </w:rPr>
        <w:t xml:space="preserve">c) Base d’évaluation : clôture, pas intraday</w:t>
      </w:r>
    </w:p>
    <w:p>
      <w:pPr>
        <w:spacing w:after="100" w:before="0" w:line="264"/>
      </w:pPr>
      <w:r>
        <w:t xml:space="preserve">Une rupture de stop est évaluée sur le cours de clôture, jamais sur une mèche intraday, pour toute ligne dont la marge de stop est inférieure à 5 %. L’ordre stop réellement déposé chez le courtier reste, lui, un ordre intraday : l’outil affiche explicitement cet écart entre la règle (clôture) et l’instrument disponible (intraday), et propose le stop sur clôture lorsque le courtier l’offre. Il ne corrige jamais l’écart de sa propre initiative (FR-251).</w:t>
      </w:r>
    </w:p>
    <w:p>
      <w:pPr>
        <w:spacing w:after="100" w:before="0" w:line="264"/>
      </w:pPr>
      <w:r>
        <w:rPr>
          <w:b/>
          <w:bCs/>
        </w:rPr>
        <w:t xml:space="preserve">d) Rotation — définition de « meilleure opportunité »</w:t>
      </w:r>
    </w:p>
    <w:p>
      <w:pPr>
        <w:keepLines/>
        <w:shd w:fill="F5F5F5" w:val="clear"/>
        <w:spacing w:after="0" w:line="240"/>
        <w:ind w:left="160" w:right="160"/>
      </w:pPr>
      <w:r>
        <w:rPr>
          <w:rFonts w:ascii="Consolas" w:cs="Consolas" w:eastAsia="Consolas" w:hAnsi="Consolas"/>
          <w:sz w:val="17"/>
          <w:szCs w:val="17"/>
        </w:rPr>
        <w:t xml:space="preserve">ecart = score(meilleur_candidat_watchlist) − score(ligne_detenue)</w:t>
      </w:r>
    </w:p>
    <w:p>
      <w:pPr>
        <w:keepLines/>
        <w:shd w:fill="F5F5F5" w:val="clear"/>
        <w:spacing w:after="0" w:line="240"/>
        <w:ind w:left="160" w:right="160"/>
      </w:pPr>
      <w:r>
        <w:rPr>
          <w:rFonts w:ascii="Consolas" w:cs="Consolas" w:eastAsia="Consolas" w:hAnsi="Consolas"/>
          <w:sz w:val="17"/>
          <w:szCs w:val="17"/>
        </w:rPr>
        <w:t xml:space="preserve">proposer une rotation si :</w:t>
      </w:r>
    </w:p>
    <w:p>
      <w:pPr>
        <w:keepLines/>
        <w:shd w:fill="F5F5F5" w:val="clear"/>
        <w:spacing w:after="0" w:line="240"/>
        <w:ind w:left="160" w:right="160"/>
      </w:pPr>
      <w:r>
        <w:rPr>
          <w:rFonts w:ascii="Consolas" w:cs="Consolas" w:eastAsia="Consolas" w:hAnsi="Consolas"/>
          <w:sz w:val="17"/>
          <w:szCs w:val="17"/>
        </w:rPr>
        <w:t xml:space="preserve">    ecart ≥ seuil_rotation                          # défaut 15 points</w:t>
      </w:r>
    </w:p>
    <w:p>
      <w:pPr>
        <w:keepLines/>
        <w:shd w:fill="F5F5F5" w:val="clear"/>
        <w:spacing w:after="0" w:line="240"/>
        <w:ind w:left="160" w:right="160"/>
      </w:pPr>
      <w:r>
        <w:rPr>
          <w:rFonts w:ascii="Consolas" w:cs="Consolas" w:eastAsia="Consolas" w:hAnsi="Consolas"/>
          <w:sz w:val="17"/>
          <w:szCs w:val="17"/>
        </w:rPr>
        <w:t xml:space="preserve">    ET momentum_relatif(ligne, indice du marché, 20 séances) &lt; 0</w:t>
      </w:r>
    </w:p>
    <w:p>
      <w:pPr>
        <w:keepLines/>
        <w:shd w:fill="F5F5F5" w:val="clear"/>
        <w:spacing w:after="0" w:line="240"/>
        <w:ind w:left="160" w:right="160"/>
      </w:pPr>
      <w:r>
        <w:rPr>
          <w:rFonts w:ascii="Consolas" w:cs="Consolas" w:eastAsia="Consolas" w:hAnsi="Consolas"/>
          <w:sz w:val="17"/>
          <w:szCs w:val="17"/>
        </w:rPr>
        <w:t xml:space="preserve">    ET aucun catalyseur daté sur la ligne dans les 3 prochaines séances</w:t>
      </w:r>
    </w:p>
    <w:p>
      <w:pPr>
        <w:keepLines/>
        <w:shd w:fill="F5F5F5" w:val="clear"/>
        <w:spacing w:after="0" w:line="240"/>
        <w:ind w:left="160" w:right="160"/>
      </w:pPr>
      <w:r>
        <w:rPr>
          <w:rFonts w:ascii="Consolas" w:cs="Consolas" w:eastAsia="Consolas" w:hAnsi="Consolas"/>
          <w:sz w:val="17"/>
          <w:szCs w:val="17"/>
        </w:rPr>
        <w:t xml:space="preserve">    ET le heat libéré par la sortie couvre le risque initial de l’entrée</w:t>
      </w:r>
    </w:p>
    <w:p>
      <w:pPr>
        <w:keepLines/>
        <w:shd w:fill="F5F5F5" w:val="clear"/>
        <w:spacing w:after="120" w:line="240"/>
        <w:ind w:left="160" w:right="160"/>
      </w:pPr>
      <w:r>
        <w:rPr>
          <w:rFonts w:ascii="Consolas" w:cs="Consolas" w:eastAsia="Consolas" w:hAnsi="Consolas"/>
          <w:sz w:val="17"/>
          <w:szCs w:val="17"/>
        </w:rPr>
        <w:t xml:space="preserve">La rotation crée DEUX scénarios liés (SELL + BUY) validés ensemble ou refusés ensemble.</w:t>
      </w:r>
    </w:p>
    <w:tbl>
      <w:tblPr>
        <w:tblW w:type="dxa" w:w="9638"/>
        <w:tblBorders>
          <w:top w:val="single" w:color="BFBFBF" w:sz="4"/>
          <w:left w:val="single" w:color="1F3864" w:sz="18"/>
          <w:bottom w:val="single" w:color="BFBFBF" w:sz="4"/>
          <w:right w:val="single" w:color="BFBFBF" w:sz="4"/>
          <w:insideH w:val="single" w:color="BFBFBF" w:sz="4"/>
          <w:insideV w:val="single" w:color="BFBFBF" w:sz="4"/>
        </w:tblBorders>
      </w:tblPr>
      <w:tblGrid>
        <w:gridCol w:w="9638"/>
      </w:tblGrid>
      <w:tr>
        <w:tc>
          <w:tcPr>
            <w:tcW w:type="dxa" w:w="9638"/>
            <w:shd w:fill="EAF3EA" w:val="clear"/>
            <w:tcMar>
              <w:top w:type="dxa" w:w="90"/>
              <w:left w:type="dxa" w:w="140"/>
              <w:bottom w:type="dxa" w:w="90"/>
              <w:right w:type="dxa" w:w="140"/>
            </w:tcMar>
          </w:tcPr>
          <w:p>
            <w:pPr>
              <w:spacing w:after="40" w:before="0" w:line="264"/>
            </w:pPr>
            <w:r>
              <w:rPr>
                <w:b/>
                <w:bCs/>
                <w:color w:val="1F3864"/>
              </w:rPr>
              <w:t xml:space="preserve">Unique exception à l’invariant « le stop ne descend jamais »</w:t>
            </w:r>
          </w:p>
          <w:p>
            <w:pPr>
              <w:spacing w:after="0" w:before="0" w:line="264"/>
            </w:pPr>
            <w:r>
              <w:t xml:space="preserve">Les opérations sur titres : détachement de dividende, attribution d’actions gratuites, division du nominal. L’ajustement est alors mécanique et proportionnel (exemple vécu : stop Interparfums porté de 25,10 à 24,50 après une attribution d’une action pour vingt). Cet ajustement n’est pas une dérogation : il ne doit être ni journalisé comme un « stop abaissé », ni compté dans les indicateurs de discipline, ni soumis à validation. Toute autre baisse reste une exception exceptionnelle, motivée et historisée (FR-250).</w:t>
            </w:r>
          </w:p>
        </w:tc>
      </w:tr>
    </w:tbl>
    <w:p>
      <w:pPr>
        <w:spacing w:after="100" w:before="0" w:line="264"/>
      </w:pPr>
      <w:r>
        <w:rPr>
          <w:b/>
          <w:bCs/>
        </w:rPr>
        <w:t xml:space="preserve">Cas limites à tester : </w:t>
      </w:r>
      <w:r>
        <w:t xml:space="preserve">gap d’ouverture au-dessus du stop proposé ; absence de creux de consolidation identifiable sur une ligne récente ; position SRD dont l’échéance de liquidation précède l’objectif 1 (le calendrier prime sur le cliquet) ; titre en devise étrangère — le stop reste exprimé dans la devise de cotation, le heat en euros ; opération sur titres survenant le même jour qu’un objectif atteint ; ligne dont la quantité restante après allègement descend sous un titre.</w:t>
      </w:r>
    </w:p>
    <w:p>
      <w:r>
        <w:br w:type="page"/>
      </w:r>
    </w:p>
    <w:p>
      <w:pPr>
        <w:pStyle w:val="Heading1"/>
        <w:spacing w:after="140" w:before="300"/>
      </w:pPr>
      <w:r>
        <w:t xml:space="preserve">8. Modèle de données</w:t>
      </w:r>
    </w:p>
    <w:p>
      <w:pPr>
        <w:spacing w:after="100" w:before="0" w:line="264"/>
      </w:pPr>
      <w:r>
        <w:t xml:space="preserve">Le modèle est événementiel et auditable. Les snapshots facilitent l’affichage ; les transactions, recommandations et versions de stratégie restent les sources de vérité. Les entités de la v1.2 (§7 et §16.4) sont fusionnées ci-dessous.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100"/>
        <w:gridCol w:w="4338"/>
      </w:tblGrid>
      <w:tr>
        <w:trPr>
          <w:tblHeader/>
        </w:trPr>
        <w:tc>
          <w:tcPr>
            <w:tcW w:type="dxa" w:w="2200"/>
            <w:shd w:fill="1F3864" w:val="clear"/>
            <w:tcMar>
              <w:top w:type="dxa" w:w="50"/>
              <w:left w:type="dxa" w:w="90"/>
              <w:bottom w:type="dxa" w:w="50"/>
              <w:right w:type="dxa" w:w="90"/>
            </w:tcMar>
            <w:vAlign w:val="center"/>
          </w:tcPr>
          <w:p>
            <w:pPr>
              <w:spacing w:after="0" w:line="240"/>
            </w:pPr>
            <w:r>
              <w:rPr>
                <w:b/>
                <w:bCs/>
                <w:color w:val="FFFFFF"/>
                <w:sz w:val="18"/>
                <w:szCs w:val="18"/>
              </w:rPr>
              <w:t xml:space="preserve">Entité</w:t>
            </w:r>
          </w:p>
        </w:tc>
        <w:tc>
          <w:tcPr>
            <w:tcW w:type="dxa" w:w="3100"/>
            <w:shd w:fill="1F3864" w:val="clear"/>
            <w:tcMar>
              <w:top w:type="dxa" w:w="50"/>
              <w:left w:type="dxa" w:w="90"/>
              <w:bottom w:type="dxa" w:w="50"/>
              <w:right w:type="dxa" w:w="90"/>
            </w:tcMar>
            <w:vAlign w:val="center"/>
          </w:tcPr>
          <w:p>
            <w:pPr>
              <w:spacing w:after="0" w:line="240"/>
            </w:pPr>
            <w:r>
              <w:rPr>
                <w:b/>
                <w:bCs/>
                <w:color w:val="FFFFFF"/>
                <w:sz w:val="18"/>
                <w:szCs w:val="18"/>
              </w:rPr>
              <w:t xml:space="preserve">Rôle</w:t>
            </w:r>
          </w:p>
        </w:tc>
        <w:tc>
          <w:tcPr>
            <w:tcW w:type="dxa" w:w="4338"/>
            <w:shd w:fill="1F3864" w:val="clear"/>
            <w:tcMar>
              <w:top w:type="dxa" w:w="50"/>
              <w:left w:type="dxa" w:w="90"/>
              <w:bottom w:type="dxa" w:w="50"/>
              <w:right w:type="dxa" w:w="90"/>
            </w:tcMar>
            <w:vAlign w:val="center"/>
          </w:tcPr>
          <w:p>
            <w:pPr>
              <w:spacing w:after="0" w:line="240"/>
            </w:pPr>
            <w:r>
              <w:rPr>
                <w:b/>
                <w:bCs/>
                <w:color w:val="FFFFFF"/>
                <w:sz w:val="18"/>
                <w:szCs w:val="18"/>
              </w:rPr>
              <w:t xml:space="preserve">Champs clés</w:t>
            </w:r>
          </w:p>
        </w:tc>
      </w:tr>
      <w:tr>
        <w:tc>
          <w:tcPr>
            <w:tcW w:type="dxa" w:w="2200"/>
            <w:tcMar>
              <w:top w:type="dxa" w:w="50"/>
              <w:left w:type="dxa" w:w="90"/>
              <w:bottom w:type="dxa" w:w="50"/>
              <w:right w:type="dxa" w:w="90"/>
            </w:tcMar>
            <w:vAlign w:val="center"/>
          </w:tcPr>
          <w:p>
            <w:pPr>
              <w:spacing w:after="0" w:line="240"/>
            </w:pPr>
            <w:r>
              <w:rPr>
                <w:sz w:val="18"/>
                <w:szCs w:val="18"/>
              </w:rPr>
              <w:t xml:space="preserve">Account</w:t>
            </w:r>
          </w:p>
        </w:tc>
        <w:tc>
          <w:tcPr>
            <w:tcW w:type="dxa" w:w="3100"/>
            <w:tcMar>
              <w:top w:type="dxa" w:w="50"/>
              <w:left w:type="dxa" w:w="90"/>
              <w:bottom w:type="dxa" w:w="50"/>
              <w:right w:type="dxa" w:w="90"/>
            </w:tcMar>
            <w:vAlign w:val="center"/>
          </w:tcPr>
          <w:p>
            <w:pPr>
              <w:spacing w:after="0" w:line="240"/>
            </w:pPr>
            <w:r>
              <w:rPr>
                <w:sz w:val="18"/>
                <w:szCs w:val="18"/>
              </w:rPr>
              <w:t xml:space="preserve">Compte / enveloppe</w:t>
            </w:r>
          </w:p>
        </w:tc>
        <w:tc>
          <w:tcPr>
            <w:tcW w:type="dxa" w:w="4338"/>
            <w:tcMar>
              <w:top w:type="dxa" w:w="50"/>
              <w:left w:type="dxa" w:w="90"/>
              <w:bottom w:type="dxa" w:w="50"/>
              <w:right w:type="dxa" w:w="90"/>
            </w:tcMar>
            <w:vAlign w:val="center"/>
          </w:tcPr>
          <w:p>
            <w:pPr>
              <w:spacing w:after="0" w:line="240"/>
            </w:pPr>
            <w:r>
              <w:rPr>
                <w:sz w:val="18"/>
                <w:szCs w:val="18"/>
              </w:rPr>
              <w:t xml:space="preserve">id, broker, type, devise, fiscalité, actif</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CapitalBucket</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Poche de capital / liquidité</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nom, type, solde, disponibilité, protégé, usage autorisé, réserve minimale</w:t>
            </w:r>
          </w:p>
        </w:tc>
      </w:tr>
      <w:tr>
        <w:tc>
          <w:tcPr>
            <w:tcW w:type="dxa" w:w="2200"/>
            <w:tcMar>
              <w:top w:type="dxa" w:w="50"/>
              <w:left w:type="dxa" w:w="90"/>
              <w:bottom w:type="dxa" w:w="50"/>
              <w:right w:type="dxa" w:w="90"/>
            </w:tcMar>
            <w:vAlign w:val="center"/>
          </w:tcPr>
          <w:p>
            <w:pPr>
              <w:spacing w:after="0" w:line="240"/>
            </w:pPr>
            <w:r>
              <w:rPr>
                <w:sz w:val="18"/>
                <w:szCs w:val="18"/>
              </w:rPr>
              <w:t xml:space="preserve">Instrument</w:t>
            </w:r>
          </w:p>
        </w:tc>
        <w:tc>
          <w:tcPr>
            <w:tcW w:type="dxa" w:w="3100"/>
            <w:tcMar>
              <w:top w:type="dxa" w:w="50"/>
              <w:left w:type="dxa" w:w="90"/>
              <w:bottom w:type="dxa" w:w="50"/>
              <w:right w:type="dxa" w:w="90"/>
            </w:tcMar>
            <w:vAlign w:val="center"/>
          </w:tcPr>
          <w:p>
            <w:pPr>
              <w:spacing w:after="0" w:line="240"/>
            </w:pPr>
            <w:r>
              <w:rPr>
                <w:sz w:val="18"/>
                <w:szCs w:val="18"/>
              </w:rPr>
              <w:t xml:space="preserve">Référentiel titre</w:t>
            </w:r>
          </w:p>
        </w:tc>
        <w:tc>
          <w:tcPr>
            <w:tcW w:type="dxa" w:w="4338"/>
            <w:tcMar>
              <w:top w:type="dxa" w:w="50"/>
              <w:left w:type="dxa" w:w="90"/>
              <w:bottom w:type="dxa" w:w="50"/>
              <w:right w:type="dxa" w:w="90"/>
            </w:tcMar>
            <w:vAlign w:val="center"/>
          </w:tcPr>
          <w:p>
            <w:pPr>
              <w:spacing w:after="0" w:line="240"/>
            </w:pPr>
            <w:r>
              <w:rPr>
                <w:sz w:val="18"/>
                <w:szCs w:val="18"/>
              </w:rPr>
              <w:t xml:space="preserve">ISIN, nom, pays de l’émetteur, secteur, éligibilité PEA, listing de référence</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Market</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Place de cotation</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MIC, nom, pays, fuseau IANA, devise, ouverture/clôture locales, règlement (T+1/T+2), SRD autorisé, indice de gate, banque centrale</w:t>
            </w:r>
          </w:p>
        </w:tc>
      </w:tr>
      <w:tr>
        <w:tc>
          <w:tcPr>
            <w:tcW w:type="dxa" w:w="2200"/>
            <w:tcMar>
              <w:top w:type="dxa" w:w="50"/>
              <w:left w:type="dxa" w:w="90"/>
              <w:bottom w:type="dxa" w:w="50"/>
              <w:right w:type="dxa" w:w="90"/>
            </w:tcMar>
            <w:vAlign w:val="center"/>
          </w:tcPr>
          <w:p>
            <w:pPr>
              <w:spacing w:after="0" w:line="240"/>
            </w:pPr>
            <w:r>
              <w:rPr>
                <w:sz w:val="18"/>
                <w:szCs w:val="18"/>
              </w:rPr>
              <w:t xml:space="preserve">MarketHoliday</w:t>
            </w:r>
          </w:p>
        </w:tc>
        <w:tc>
          <w:tcPr>
            <w:tcW w:type="dxa" w:w="3100"/>
            <w:tcMar>
              <w:top w:type="dxa" w:w="50"/>
              <w:left w:type="dxa" w:w="90"/>
              <w:bottom w:type="dxa" w:w="50"/>
              <w:right w:type="dxa" w:w="90"/>
            </w:tcMar>
            <w:vAlign w:val="center"/>
          </w:tcPr>
          <w:p>
            <w:pPr>
              <w:spacing w:after="0" w:line="240"/>
            </w:pPr>
            <w:r>
              <w:rPr>
                <w:sz w:val="18"/>
                <w:szCs w:val="18"/>
              </w:rPr>
              <w:t xml:space="preserve">Jour férié ou demi-séance</w:t>
            </w:r>
          </w:p>
        </w:tc>
        <w:tc>
          <w:tcPr>
            <w:tcW w:type="dxa" w:w="4338"/>
            <w:tcMar>
              <w:top w:type="dxa" w:w="50"/>
              <w:left w:type="dxa" w:w="90"/>
              <w:bottom w:type="dxa" w:w="50"/>
              <w:right w:type="dxa" w:w="90"/>
            </w:tcMar>
            <w:vAlign w:val="center"/>
          </w:tcPr>
          <w:p>
            <w:pPr>
              <w:spacing w:after="0" w:line="240"/>
            </w:pPr>
            <w:r>
              <w:rPr>
                <w:sz w:val="18"/>
                <w:szCs w:val="18"/>
              </w:rPr>
              <w:t xml:space="preserve">MIC, date, type (fermé / clôture anticipée), heure de clôture</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Listing</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Instrument × place</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ISIN, MIC, ticker, devise, référence (booléen), ADV, spread moyen, statut</w:t>
            </w:r>
          </w:p>
        </w:tc>
      </w:tr>
      <w:tr>
        <w:tc>
          <w:tcPr>
            <w:tcW w:type="dxa" w:w="2200"/>
            <w:tcMar>
              <w:top w:type="dxa" w:w="50"/>
              <w:left w:type="dxa" w:w="90"/>
              <w:bottom w:type="dxa" w:w="50"/>
              <w:right w:type="dxa" w:w="90"/>
            </w:tcMar>
            <w:vAlign w:val="center"/>
          </w:tcPr>
          <w:p>
            <w:pPr>
              <w:spacing w:after="0" w:line="240"/>
            </w:pPr>
            <w:r>
              <w:rPr>
                <w:sz w:val="18"/>
                <w:szCs w:val="18"/>
              </w:rPr>
              <w:t xml:space="preserve">MarketQuote</w:t>
            </w:r>
          </w:p>
        </w:tc>
        <w:tc>
          <w:tcPr>
            <w:tcW w:type="dxa" w:w="3100"/>
            <w:tcMar>
              <w:top w:type="dxa" w:w="50"/>
              <w:left w:type="dxa" w:w="90"/>
              <w:bottom w:type="dxa" w:w="50"/>
              <w:right w:type="dxa" w:w="90"/>
            </w:tcMar>
            <w:vAlign w:val="center"/>
          </w:tcPr>
          <w:p>
            <w:pPr>
              <w:spacing w:after="0" w:line="240"/>
            </w:pPr>
            <w:r>
              <w:rPr>
                <w:sz w:val="18"/>
                <w:szCs w:val="18"/>
              </w:rPr>
              <w:t xml:space="preserve">Cours horodaté</w:t>
            </w:r>
          </w:p>
        </w:tc>
        <w:tc>
          <w:tcPr>
            <w:tcW w:type="dxa" w:w="4338"/>
            <w:tcMar>
              <w:top w:type="dxa" w:w="50"/>
              <w:left w:type="dxa" w:w="90"/>
              <w:bottom w:type="dxa" w:w="50"/>
              <w:right w:type="dxa" w:w="90"/>
            </w:tcMar>
            <w:vAlign w:val="center"/>
          </w:tcPr>
          <w:p>
            <w:pPr>
              <w:spacing w:after="0" w:line="240"/>
            </w:pPr>
            <w:r>
              <w:rPr>
                <w:sz w:val="18"/>
                <w:szCs w:val="18"/>
              </w:rPr>
              <w:t xml:space="preserve">listing, OHLCV, devise de cotation, source, délai, qualité</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FxRate</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Taux de change</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paire, date/heure, taux (6 déc.), source, statut (constaté / estimé)</w:t>
            </w:r>
          </w:p>
        </w:tc>
      </w:tr>
      <w:tr>
        <w:tc>
          <w:tcPr>
            <w:tcW w:type="dxa" w:w="2200"/>
            <w:tcMar>
              <w:top w:type="dxa" w:w="50"/>
              <w:left w:type="dxa" w:w="90"/>
              <w:bottom w:type="dxa" w:w="50"/>
              <w:right w:type="dxa" w:w="90"/>
            </w:tcMar>
            <w:vAlign w:val="center"/>
          </w:tcPr>
          <w:p>
            <w:pPr>
              <w:spacing w:after="0" w:line="240"/>
            </w:pPr>
            <w:r>
              <w:rPr>
                <w:sz w:val="18"/>
                <w:szCs w:val="18"/>
              </w:rPr>
              <w:t xml:space="preserve">WithholdingRule</w:t>
            </w:r>
          </w:p>
        </w:tc>
        <w:tc>
          <w:tcPr>
            <w:tcW w:type="dxa" w:w="3100"/>
            <w:tcMar>
              <w:top w:type="dxa" w:w="50"/>
              <w:left w:type="dxa" w:w="90"/>
              <w:bottom w:type="dxa" w:w="50"/>
              <w:right w:type="dxa" w:w="90"/>
            </w:tcMar>
            <w:vAlign w:val="center"/>
          </w:tcPr>
          <w:p>
            <w:pPr>
              <w:spacing w:after="0" w:line="240"/>
            </w:pPr>
            <w:r>
              <w:rPr>
                <w:sz w:val="18"/>
                <w:szCs w:val="18"/>
              </w:rPr>
              <w:t xml:space="preserve">Retenue à la source</w:t>
            </w:r>
          </w:p>
        </w:tc>
        <w:tc>
          <w:tcPr>
            <w:tcW w:type="dxa" w:w="4338"/>
            <w:tcMar>
              <w:top w:type="dxa" w:w="50"/>
              <w:left w:type="dxa" w:w="90"/>
              <w:bottom w:type="dxa" w:w="50"/>
              <w:right w:type="dxa" w:w="90"/>
            </w:tcMar>
            <w:vAlign w:val="center"/>
          </w:tcPr>
          <w:p>
            <w:pPr>
              <w:spacing w:after="0" w:line="240"/>
            </w:pPr>
            <w:r>
              <w:rPr>
                <w:sz w:val="18"/>
                <w:szCs w:val="18"/>
              </w:rPr>
              <w:t xml:space="preserve">pays de l’émetteur, enveloppe, taux, convention, date d’effet, statut estimatif</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CorporateEvent</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Événement titre</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résultats, dividende, split, OPA, OST</w:t>
            </w:r>
          </w:p>
        </w:tc>
      </w:tr>
      <w:tr>
        <w:tc>
          <w:tcPr>
            <w:tcW w:type="dxa" w:w="2200"/>
            <w:tcMar>
              <w:top w:type="dxa" w:w="50"/>
              <w:left w:type="dxa" w:w="90"/>
              <w:bottom w:type="dxa" w:w="50"/>
              <w:right w:type="dxa" w:w="90"/>
            </w:tcMar>
            <w:vAlign w:val="center"/>
          </w:tcPr>
          <w:p>
            <w:pPr>
              <w:spacing w:after="0" w:line="240"/>
            </w:pPr>
            <w:r>
              <w:rPr>
                <w:sz w:val="18"/>
                <w:szCs w:val="18"/>
              </w:rPr>
              <w:t xml:space="preserve">RiskEvent</w:t>
            </w:r>
          </w:p>
        </w:tc>
        <w:tc>
          <w:tcPr>
            <w:tcW w:type="dxa" w:w="3100"/>
            <w:tcMar>
              <w:top w:type="dxa" w:w="50"/>
              <w:left w:type="dxa" w:w="90"/>
              <w:bottom w:type="dxa" w:w="50"/>
              <w:right w:type="dxa" w:w="90"/>
            </w:tcMar>
            <w:vAlign w:val="center"/>
          </w:tcPr>
          <w:p>
            <w:pPr>
              <w:spacing w:after="0" w:line="240"/>
            </w:pPr>
            <w:r>
              <w:rPr>
                <w:sz w:val="18"/>
                <w:szCs w:val="18"/>
              </w:rPr>
              <w:t xml:space="preserve">Événement macro / no-go</w:t>
            </w:r>
          </w:p>
        </w:tc>
        <w:tc>
          <w:tcPr>
            <w:tcW w:type="dxa" w:w="4338"/>
            <w:tcMar>
              <w:top w:type="dxa" w:w="50"/>
              <w:left w:type="dxa" w:w="90"/>
              <w:bottom w:type="dxa" w:w="50"/>
              <w:right w:type="dxa" w:w="90"/>
            </w:tcMar>
            <w:vAlign w:val="center"/>
          </w:tcPr>
          <w:p>
            <w:pPr>
              <w:spacing w:after="0" w:line="240"/>
            </w:pPr>
            <w:r>
              <w:rPr>
                <w:sz w:val="18"/>
                <w:szCs w:val="18"/>
              </w:rPr>
              <w:t xml:space="preserve">type, début, fin, sévérité, produits concernés, règle no-go</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SRDCycle</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Cycle SRD</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marché, liquidation, règlement, deadline interne, statut</w:t>
            </w:r>
          </w:p>
        </w:tc>
      </w:tr>
      <w:tr>
        <w:tc>
          <w:tcPr>
            <w:tcW w:type="dxa" w:w="2200"/>
            <w:tcMar>
              <w:top w:type="dxa" w:w="50"/>
              <w:left w:type="dxa" w:w="90"/>
              <w:bottom w:type="dxa" w:w="50"/>
              <w:right w:type="dxa" w:w="90"/>
            </w:tcMar>
            <w:vAlign w:val="center"/>
          </w:tcPr>
          <w:p>
            <w:pPr>
              <w:spacing w:after="0" w:line="240"/>
            </w:pPr>
            <w:r>
              <w:rPr>
                <w:sz w:val="18"/>
                <w:szCs w:val="18"/>
              </w:rPr>
              <w:t xml:space="preserve">SourceDocument</w:t>
            </w:r>
          </w:p>
        </w:tc>
        <w:tc>
          <w:tcPr>
            <w:tcW w:type="dxa" w:w="3100"/>
            <w:tcMar>
              <w:top w:type="dxa" w:w="50"/>
              <w:left w:type="dxa" w:w="90"/>
              <w:bottom w:type="dxa" w:w="50"/>
              <w:right w:type="dxa" w:w="90"/>
            </w:tcMar>
            <w:vAlign w:val="center"/>
          </w:tcPr>
          <w:p>
            <w:pPr>
              <w:spacing w:after="0" w:line="240"/>
            </w:pPr>
            <w:r>
              <w:rPr>
                <w:sz w:val="18"/>
                <w:szCs w:val="18"/>
              </w:rPr>
              <w:t xml:space="preserve">Document brut</w:t>
            </w:r>
          </w:p>
        </w:tc>
        <w:tc>
          <w:tcPr>
            <w:tcW w:type="dxa" w:w="4338"/>
            <w:tcMar>
              <w:top w:type="dxa" w:w="50"/>
              <w:left w:type="dxa" w:w="90"/>
              <w:bottom w:type="dxa" w:w="50"/>
              <w:right w:type="dxa" w:w="90"/>
            </w:tcMar>
            <w:vAlign w:val="center"/>
          </w:tcPr>
          <w:p>
            <w:pPr>
              <w:spacing w:after="0" w:line="240"/>
            </w:pPr>
            <w:r>
              <w:rPr>
                <w:sz w:val="18"/>
                <w:szCs w:val="18"/>
              </w:rPr>
              <w:t xml:space="preserve">type, date, hash, chemin, source</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SourceExtract</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Fait extrait</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citation, page/section, date, instrument</w:t>
            </w:r>
          </w:p>
        </w:tc>
      </w:tr>
      <w:tr>
        <w:tc>
          <w:tcPr>
            <w:tcW w:type="dxa" w:w="2200"/>
            <w:tcMar>
              <w:top w:type="dxa" w:w="50"/>
              <w:left w:type="dxa" w:w="90"/>
              <w:bottom w:type="dxa" w:w="50"/>
              <w:right w:type="dxa" w:w="90"/>
            </w:tcMar>
            <w:vAlign w:val="center"/>
          </w:tcPr>
          <w:p>
            <w:pPr>
              <w:spacing w:after="0" w:line="240"/>
            </w:pPr>
            <w:r>
              <w:rPr>
                <w:sz w:val="18"/>
                <w:szCs w:val="18"/>
              </w:rPr>
              <w:t xml:space="preserve">ClaudeSource</w:t>
            </w:r>
          </w:p>
        </w:tc>
        <w:tc>
          <w:tcPr>
            <w:tcW w:type="dxa" w:w="3100"/>
            <w:tcMar>
              <w:top w:type="dxa" w:w="50"/>
              <w:left w:type="dxa" w:w="90"/>
              <w:bottom w:type="dxa" w:w="50"/>
              <w:right w:type="dxa" w:w="90"/>
            </w:tcMar>
            <w:vAlign w:val="center"/>
          </w:tcPr>
          <w:p>
            <w:pPr>
              <w:spacing w:after="0" w:line="240"/>
            </w:pPr>
            <w:r>
              <w:rPr>
                <w:sz w:val="18"/>
                <w:szCs w:val="18"/>
              </w:rPr>
              <w:t xml:space="preserve">Provenance export Claude</w:t>
            </w:r>
          </w:p>
        </w:tc>
        <w:tc>
          <w:tcPr>
            <w:tcW w:type="dxa" w:w="4338"/>
            <w:tcMar>
              <w:top w:type="dxa" w:w="50"/>
              <w:left w:type="dxa" w:w="90"/>
              <w:bottom w:type="dxa" w:w="50"/>
              <w:right w:type="dxa" w:w="90"/>
            </w:tcMar>
            <w:vAlign w:val="center"/>
          </w:tcPr>
          <w:p>
            <w:pPr>
              <w:spacing w:after="0" w:line="240"/>
            </w:pPr>
            <w:r>
              <w:rPr>
                <w:sz w:val="18"/>
                <w:szCs w:val="18"/>
              </w:rPr>
              <w:t xml:space="preserve">project_uuid, conversation_uuid, message_uuid, date, hash, extrait</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Recommendation</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Préconisation publiée (immuable)</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action, score, confiance, version, snapshot</w:t>
            </w:r>
          </w:p>
        </w:tc>
      </w:tr>
      <w:tr>
        <w:tc>
          <w:tcPr>
            <w:tcW w:type="dxa" w:w="2200"/>
            <w:tcMar>
              <w:top w:type="dxa" w:w="50"/>
              <w:left w:type="dxa" w:w="90"/>
              <w:bottom w:type="dxa" w:w="50"/>
              <w:right w:type="dxa" w:w="90"/>
            </w:tcMar>
            <w:vAlign w:val="center"/>
          </w:tcPr>
          <w:p>
            <w:pPr>
              <w:spacing w:after="0" w:line="240"/>
            </w:pPr>
            <w:r>
              <w:rPr>
                <w:sz w:val="18"/>
                <w:szCs w:val="18"/>
              </w:rPr>
              <w:t xml:space="preserve">Scenario</w:t>
            </w:r>
          </w:p>
        </w:tc>
        <w:tc>
          <w:tcPr>
            <w:tcW w:type="dxa" w:w="3100"/>
            <w:tcMar>
              <w:top w:type="dxa" w:w="50"/>
              <w:left w:type="dxa" w:w="90"/>
              <w:bottom w:type="dxa" w:w="50"/>
              <w:right w:type="dxa" w:w="90"/>
            </w:tcMar>
            <w:vAlign w:val="center"/>
          </w:tcPr>
          <w:p>
            <w:pPr>
              <w:spacing w:after="0" w:line="240"/>
            </w:pPr>
            <w:r>
              <w:rPr>
                <w:sz w:val="18"/>
                <w:szCs w:val="18"/>
              </w:rPr>
              <w:t xml:space="preserve">Plan d’investissement + état</w:t>
            </w:r>
          </w:p>
        </w:tc>
        <w:tc>
          <w:tcPr>
            <w:tcW w:type="dxa" w:w="4338"/>
            <w:tcMar>
              <w:top w:type="dxa" w:w="50"/>
              <w:left w:type="dxa" w:w="90"/>
              <w:bottom w:type="dxa" w:w="50"/>
              <w:right w:type="dxa" w:w="90"/>
            </w:tcMar>
            <w:vAlign w:val="center"/>
          </w:tcPr>
          <w:p>
            <w:pPr>
              <w:spacing w:after="0" w:line="240"/>
            </w:pPr>
            <w:r>
              <w:rPr>
                <w:sz w:val="18"/>
                <w:szCs w:val="18"/>
              </w:rPr>
              <w:t xml:space="preserve">entrée, stop, objectifs, horizon, invalidation, état (§6.5)</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EntryGate</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Condition d’armement</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type, opérateur, seuil, source, valid_from/to, statut</w:t>
            </w:r>
          </w:p>
        </w:tc>
      </w:tr>
      <w:tr>
        <w:tc>
          <w:tcPr>
            <w:tcW w:type="dxa" w:w="2200"/>
            <w:tcMar>
              <w:top w:type="dxa" w:w="50"/>
              <w:left w:type="dxa" w:w="90"/>
              <w:bottom w:type="dxa" w:w="50"/>
              <w:right w:type="dxa" w:w="90"/>
            </w:tcMar>
            <w:vAlign w:val="center"/>
          </w:tcPr>
          <w:p>
            <w:pPr>
              <w:spacing w:after="0" w:line="240"/>
            </w:pPr>
            <w:r>
              <w:rPr>
                <w:sz w:val="18"/>
                <w:szCs w:val="18"/>
              </w:rPr>
              <w:t xml:space="preserve">TradeTranche</w:t>
            </w:r>
          </w:p>
        </w:tc>
        <w:tc>
          <w:tcPr>
            <w:tcW w:type="dxa" w:w="3100"/>
            <w:tcMar>
              <w:top w:type="dxa" w:w="50"/>
              <w:left w:type="dxa" w:w="90"/>
              <w:bottom w:type="dxa" w:w="50"/>
              <w:right w:type="dxa" w:w="90"/>
            </w:tcMar>
            <w:vAlign w:val="center"/>
          </w:tcPr>
          <w:p>
            <w:pPr>
              <w:spacing w:after="0" w:line="240"/>
            </w:pPr>
            <w:r>
              <w:rPr>
                <w:sz w:val="18"/>
                <w:szCs w:val="18"/>
              </w:rPr>
              <w:t xml:space="preserve">Tranche de pyramiding</w:t>
            </w:r>
          </w:p>
        </w:tc>
        <w:tc>
          <w:tcPr>
            <w:tcW w:type="dxa" w:w="4338"/>
            <w:tcMar>
              <w:top w:type="dxa" w:w="50"/>
              <w:left w:type="dxa" w:w="90"/>
              <w:bottom w:type="dxa" w:w="50"/>
              <w:right w:type="dxa" w:w="90"/>
            </w:tcMar>
            <w:vAlign w:val="center"/>
          </w:tcPr>
          <w:p>
            <w:pPr>
              <w:spacing w:after="0" w:line="240"/>
            </w:pPr>
            <w:r>
              <w:rPr>
                <w:sz w:val="18"/>
                <w:szCs w:val="18"/>
              </w:rPr>
              <w:t xml:space="preserve">rang, quantité, prix, stop, déclencheur R, heat, statut</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OrderIntent</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Ordre potentiel</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type, quantité, niveau, compte recommandé</w:t>
            </w:r>
          </w:p>
        </w:tc>
      </w:tr>
      <w:tr>
        <w:tc>
          <w:tcPr>
            <w:tcW w:type="dxa" w:w="2200"/>
            <w:tcMar>
              <w:top w:type="dxa" w:w="50"/>
              <w:left w:type="dxa" w:w="90"/>
              <w:bottom w:type="dxa" w:w="50"/>
              <w:right w:type="dxa" w:w="90"/>
            </w:tcMar>
            <w:vAlign w:val="center"/>
          </w:tcPr>
          <w:p>
            <w:pPr>
              <w:spacing w:after="0" w:line="240"/>
            </w:pPr>
            <w:r>
              <w:rPr>
                <w:sz w:val="18"/>
                <w:szCs w:val="18"/>
              </w:rPr>
              <w:t xml:space="preserve">BrokerOrder</w:t>
            </w:r>
          </w:p>
        </w:tc>
        <w:tc>
          <w:tcPr>
            <w:tcW w:type="dxa" w:w="3100"/>
            <w:tcMar>
              <w:top w:type="dxa" w:w="50"/>
              <w:left w:type="dxa" w:w="90"/>
              <w:bottom w:type="dxa" w:w="50"/>
              <w:right w:type="dxa" w:w="90"/>
            </w:tcMar>
            <w:vAlign w:val="center"/>
          </w:tcPr>
          <w:p>
            <w:pPr>
              <w:spacing w:after="0" w:line="240"/>
            </w:pPr>
            <w:r>
              <w:rPr>
                <w:sz w:val="18"/>
                <w:szCs w:val="18"/>
              </w:rPr>
              <w:t xml:space="preserve">Ordre réel</w:t>
            </w:r>
          </w:p>
        </w:tc>
        <w:tc>
          <w:tcPr>
            <w:tcW w:type="dxa" w:w="4338"/>
            <w:tcMar>
              <w:top w:type="dxa" w:w="50"/>
              <w:left w:type="dxa" w:w="90"/>
              <w:bottom w:type="dxa" w:w="50"/>
              <w:right w:type="dxa" w:w="90"/>
            </w:tcMar>
            <w:vAlign w:val="center"/>
          </w:tcPr>
          <w:p>
            <w:pPr>
              <w:spacing w:after="0" w:line="240"/>
            </w:pPr>
            <w:r>
              <w:rPr>
                <w:sz w:val="18"/>
                <w:szCs w:val="18"/>
              </w:rPr>
              <w:t xml:space="preserve">courtier, statut, niveaux, lien OCO, identifiant</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Transaction</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Exécution comptable</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date, sens, quantité, prix, frais, change</w:t>
            </w:r>
          </w:p>
        </w:tc>
      </w:tr>
      <w:tr>
        <w:tc>
          <w:tcPr>
            <w:tcW w:type="dxa" w:w="2200"/>
            <w:tcMar>
              <w:top w:type="dxa" w:w="50"/>
              <w:left w:type="dxa" w:w="90"/>
              <w:bottom w:type="dxa" w:w="50"/>
              <w:right w:type="dxa" w:w="90"/>
            </w:tcMar>
            <w:vAlign w:val="center"/>
          </w:tcPr>
          <w:p>
            <w:pPr>
              <w:spacing w:after="0" w:line="240"/>
            </w:pPr>
            <w:r>
              <w:rPr>
                <w:sz w:val="18"/>
                <w:szCs w:val="18"/>
              </w:rPr>
              <w:t xml:space="preserve">PositionLot</w:t>
            </w:r>
          </w:p>
        </w:tc>
        <w:tc>
          <w:tcPr>
            <w:tcW w:type="dxa" w:w="3100"/>
            <w:tcMar>
              <w:top w:type="dxa" w:w="50"/>
              <w:left w:type="dxa" w:w="90"/>
              <w:bottom w:type="dxa" w:w="50"/>
              <w:right w:type="dxa" w:w="90"/>
            </w:tcMar>
            <w:vAlign w:val="center"/>
          </w:tcPr>
          <w:p>
            <w:pPr>
              <w:spacing w:after="0" w:line="240"/>
            </w:pPr>
            <w:r>
              <w:rPr>
                <w:sz w:val="18"/>
                <w:szCs w:val="18"/>
              </w:rPr>
              <w:t xml:space="preserve">Lot / coût</w:t>
            </w:r>
          </w:p>
        </w:tc>
        <w:tc>
          <w:tcPr>
            <w:tcW w:type="dxa" w:w="4338"/>
            <w:tcMar>
              <w:top w:type="dxa" w:w="50"/>
              <w:left w:type="dxa" w:w="90"/>
              <w:bottom w:type="dxa" w:w="50"/>
              <w:right w:type="dxa" w:w="90"/>
            </w:tcMar>
            <w:vAlign w:val="center"/>
          </w:tcPr>
          <w:p>
            <w:pPr>
              <w:spacing w:after="0" w:line="240"/>
            </w:pPr>
            <w:r>
              <w:rPr>
                <w:sz w:val="18"/>
                <w:szCs w:val="18"/>
              </w:rPr>
              <w:t xml:space="preserve">quantité ouverte, coût, compte, source</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PositionSnapshot</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Position journalière</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quantité, PRU, valeur, P/L, stop</w:t>
            </w:r>
          </w:p>
        </w:tc>
      </w:tr>
      <w:tr>
        <w:tc>
          <w:tcPr>
            <w:tcW w:type="dxa" w:w="2200"/>
            <w:tcMar>
              <w:top w:type="dxa" w:w="50"/>
              <w:left w:type="dxa" w:w="90"/>
              <w:bottom w:type="dxa" w:w="50"/>
              <w:right w:type="dxa" w:w="90"/>
            </w:tcMar>
            <w:vAlign w:val="center"/>
          </w:tcPr>
          <w:p>
            <w:pPr>
              <w:spacing w:after="0" w:line="240"/>
            </w:pPr>
            <w:r>
              <w:rPr>
                <w:sz w:val="18"/>
                <w:szCs w:val="18"/>
              </w:rPr>
              <w:t xml:space="preserve">PortfolioSnapshot</w:t>
            </w:r>
          </w:p>
        </w:tc>
        <w:tc>
          <w:tcPr>
            <w:tcW w:type="dxa" w:w="3100"/>
            <w:tcMar>
              <w:top w:type="dxa" w:w="50"/>
              <w:left w:type="dxa" w:w="90"/>
              <w:bottom w:type="dxa" w:w="50"/>
              <w:right w:type="dxa" w:w="90"/>
            </w:tcMar>
            <w:vAlign w:val="center"/>
          </w:tcPr>
          <w:p>
            <w:pPr>
              <w:spacing w:after="0" w:line="240"/>
            </w:pPr>
            <w:r>
              <w:rPr>
                <w:sz w:val="18"/>
                <w:szCs w:val="18"/>
              </w:rPr>
              <w:t xml:space="preserve">Vue consolidée</w:t>
            </w:r>
          </w:p>
        </w:tc>
        <w:tc>
          <w:tcPr>
            <w:tcW w:type="dxa" w:w="4338"/>
            <w:tcMar>
              <w:top w:type="dxa" w:w="50"/>
              <w:left w:type="dxa" w:w="90"/>
              <w:bottom w:type="dxa" w:w="50"/>
              <w:right w:type="dxa" w:w="90"/>
            </w:tcMar>
            <w:vAlign w:val="center"/>
          </w:tcPr>
          <w:p>
            <w:pPr>
              <w:spacing w:after="0" w:line="240"/>
            </w:pPr>
            <w:r>
              <w:rPr>
                <w:sz w:val="18"/>
                <w:szCs w:val="18"/>
              </w:rPr>
              <w:t xml:space="preserve">NAV, cash, exposition, allocation, heat</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RiskBudgetVersion</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Budgets de risque versionnés</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date d’effet, grade, montant, %, heat_cap, motif</w:t>
            </w:r>
          </w:p>
        </w:tc>
      </w:tr>
      <w:tr>
        <w:tc>
          <w:tcPr>
            <w:tcW w:type="dxa" w:w="2200"/>
            <w:tcMar>
              <w:top w:type="dxa" w:w="50"/>
              <w:left w:type="dxa" w:w="90"/>
              <w:bottom w:type="dxa" w:w="50"/>
              <w:right w:type="dxa" w:w="90"/>
            </w:tcMar>
            <w:vAlign w:val="center"/>
          </w:tcPr>
          <w:p>
            <w:pPr>
              <w:spacing w:after="0" w:line="240"/>
            </w:pPr>
            <w:r>
              <w:rPr>
                <w:sz w:val="18"/>
                <w:szCs w:val="18"/>
              </w:rPr>
              <w:t xml:space="preserve">StrategyVersion</w:t>
            </w:r>
          </w:p>
        </w:tc>
        <w:tc>
          <w:tcPr>
            <w:tcW w:type="dxa" w:w="3100"/>
            <w:tcMar>
              <w:top w:type="dxa" w:w="50"/>
              <w:left w:type="dxa" w:w="90"/>
              <w:bottom w:type="dxa" w:w="50"/>
              <w:right w:type="dxa" w:w="90"/>
            </w:tcMar>
            <w:vAlign w:val="center"/>
          </w:tcPr>
          <w:p>
            <w:pPr>
              <w:spacing w:after="0" w:line="240"/>
            </w:pPr>
            <w:r>
              <w:rPr>
                <w:sz w:val="18"/>
                <w:szCs w:val="18"/>
              </w:rPr>
              <w:t xml:space="preserve">Règles actives versionnées</w:t>
            </w:r>
          </w:p>
        </w:tc>
        <w:tc>
          <w:tcPr>
            <w:tcW w:type="dxa" w:w="4338"/>
            <w:tcMar>
              <w:top w:type="dxa" w:w="50"/>
              <w:left w:type="dxa" w:w="90"/>
              <w:bottom w:type="dxa" w:w="50"/>
              <w:right w:type="dxa" w:w="90"/>
            </w:tcMar>
            <w:vAlign w:val="center"/>
          </w:tcPr>
          <w:p>
            <w:pPr>
              <w:spacing w:after="0" w:line="240"/>
            </w:pPr>
            <w:r>
              <w:rPr>
                <w:sz w:val="18"/>
                <w:szCs w:val="18"/>
              </w:rPr>
              <w:t xml:space="preserve">paramètres, date d’effet, justification</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DCAPlan</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Plan DCA</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compte, instrument, poids cible, montant, fréquence, heure, règle d’accélération</w:t>
            </w:r>
          </w:p>
        </w:tc>
      </w:tr>
      <w:tr>
        <w:tc>
          <w:tcPr>
            <w:tcW w:type="dxa" w:w="2200"/>
            <w:tcMar>
              <w:top w:type="dxa" w:w="50"/>
              <w:left w:type="dxa" w:w="90"/>
              <w:bottom w:type="dxa" w:w="50"/>
              <w:right w:type="dxa" w:w="90"/>
            </w:tcMar>
            <w:vAlign w:val="center"/>
          </w:tcPr>
          <w:p>
            <w:pPr>
              <w:spacing w:after="0" w:line="240"/>
            </w:pPr>
            <w:r>
              <w:rPr>
                <w:sz w:val="18"/>
                <w:szCs w:val="18"/>
              </w:rPr>
              <w:t xml:space="preserve">TaxLossLedger</w:t>
            </w:r>
          </w:p>
        </w:tc>
        <w:tc>
          <w:tcPr>
            <w:tcW w:type="dxa" w:w="3100"/>
            <w:tcMar>
              <w:top w:type="dxa" w:w="50"/>
              <w:left w:type="dxa" w:w="90"/>
              <w:bottom w:type="dxa" w:w="50"/>
              <w:right w:type="dxa" w:w="90"/>
            </w:tcMar>
            <w:vAlign w:val="center"/>
          </w:tcPr>
          <w:p>
            <w:pPr>
              <w:spacing w:after="0" w:line="240"/>
            </w:pPr>
            <w:r>
              <w:rPr>
                <w:sz w:val="18"/>
                <w:szCs w:val="18"/>
              </w:rPr>
              <w:t xml:space="preserve">Registre fiscal estimatif</w:t>
            </w:r>
          </w:p>
        </w:tc>
        <w:tc>
          <w:tcPr>
            <w:tcW w:type="dxa" w:w="4338"/>
            <w:tcMar>
              <w:top w:type="dxa" w:w="50"/>
              <w:left w:type="dxa" w:w="90"/>
              <w:bottom w:type="dxa" w:w="50"/>
              <w:right w:type="dxa" w:w="90"/>
            </w:tcMar>
            <w:vAlign w:val="center"/>
          </w:tcPr>
          <w:p>
            <w:pPr>
              <w:spacing w:after="0" w:line="240"/>
            </w:pPr>
            <w:r>
              <w:rPr>
                <w:sz w:val="18"/>
                <w:szCs w:val="18"/>
              </w:rPr>
              <w:t xml:space="preserve">année, gains, pertes, imputé, reportable, statut</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BrokerIncident</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Incident courtier</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courtier, date, type, capture, contournement, impact</w:t>
            </w:r>
          </w:p>
        </w:tc>
      </w:tr>
      <w:tr>
        <w:tc>
          <w:tcPr>
            <w:tcW w:type="dxa" w:w="2200"/>
            <w:tcMar>
              <w:top w:type="dxa" w:w="50"/>
              <w:left w:type="dxa" w:w="90"/>
              <w:bottom w:type="dxa" w:w="50"/>
              <w:right w:type="dxa" w:w="90"/>
            </w:tcMar>
            <w:vAlign w:val="center"/>
          </w:tcPr>
          <w:p>
            <w:pPr>
              <w:spacing w:after="0" w:line="240"/>
            </w:pPr>
            <w:r>
              <w:rPr>
                <w:sz w:val="18"/>
                <w:szCs w:val="18"/>
              </w:rPr>
              <w:t xml:space="preserve">Review</w:t>
            </w:r>
          </w:p>
        </w:tc>
        <w:tc>
          <w:tcPr>
            <w:tcW w:type="dxa" w:w="3100"/>
            <w:tcMar>
              <w:top w:type="dxa" w:w="50"/>
              <w:left w:type="dxa" w:w="90"/>
              <w:bottom w:type="dxa" w:w="50"/>
              <w:right w:type="dxa" w:w="90"/>
            </w:tcMar>
            <w:vAlign w:val="center"/>
          </w:tcPr>
          <w:p>
            <w:pPr>
              <w:spacing w:after="0" w:line="240"/>
            </w:pPr>
            <w:r>
              <w:rPr>
                <w:sz w:val="18"/>
                <w:szCs w:val="18"/>
              </w:rPr>
              <w:t xml:space="preserve">Post-mortem</w:t>
            </w:r>
          </w:p>
        </w:tc>
        <w:tc>
          <w:tcPr>
            <w:tcW w:type="dxa" w:w="4338"/>
            <w:tcMar>
              <w:top w:type="dxa" w:w="50"/>
              <w:left w:type="dxa" w:w="90"/>
              <w:bottom w:type="dxa" w:w="50"/>
              <w:right w:type="dxa" w:w="90"/>
            </w:tcMar>
            <w:vAlign w:val="center"/>
          </w:tcPr>
          <w:p>
            <w:pPr>
              <w:spacing w:after="0" w:line="240"/>
            </w:pPr>
            <w:r>
              <w:rPr>
                <w:sz w:val="18"/>
                <w:szCs w:val="18"/>
              </w:rPr>
              <w:t xml:space="preserve">résultat, causes, leçon, action proposée</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KpiResult</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KPI historisé</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période, périmètre, formule, valeur</w:t>
            </w:r>
          </w:p>
        </w:tc>
      </w:tr>
      <w:tr>
        <w:tc>
          <w:tcPr>
            <w:tcW w:type="dxa" w:w="2200"/>
            <w:tcMar>
              <w:top w:type="dxa" w:w="50"/>
              <w:left w:type="dxa" w:w="90"/>
              <w:bottom w:type="dxa" w:w="50"/>
              <w:right w:type="dxa" w:w="90"/>
            </w:tcMar>
            <w:vAlign w:val="center"/>
          </w:tcPr>
          <w:p>
            <w:pPr>
              <w:spacing w:after="0" w:line="240"/>
            </w:pPr>
            <w:r>
              <w:rPr>
                <w:sz w:val="18"/>
                <w:szCs w:val="18"/>
              </w:rPr>
              <w:t xml:space="preserve">Alert</w:t>
            </w:r>
          </w:p>
        </w:tc>
        <w:tc>
          <w:tcPr>
            <w:tcW w:type="dxa" w:w="3100"/>
            <w:tcMar>
              <w:top w:type="dxa" w:w="50"/>
              <w:left w:type="dxa" w:w="90"/>
              <w:bottom w:type="dxa" w:w="50"/>
              <w:right w:type="dxa" w:w="90"/>
            </w:tcMar>
            <w:vAlign w:val="center"/>
          </w:tcPr>
          <w:p>
            <w:pPr>
              <w:spacing w:after="0" w:line="240"/>
            </w:pPr>
            <w:r>
              <w:rPr>
                <w:sz w:val="18"/>
                <w:szCs w:val="18"/>
              </w:rPr>
              <w:t xml:space="preserve">Alerte et résolution</w:t>
            </w:r>
          </w:p>
        </w:tc>
        <w:tc>
          <w:tcPr>
            <w:tcW w:type="dxa" w:w="4338"/>
            <w:tcMar>
              <w:top w:type="dxa" w:w="50"/>
              <w:left w:type="dxa" w:w="90"/>
              <w:bottom w:type="dxa" w:w="50"/>
              <w:right w:type="dxa" w:w="90"/>
            </w:tcMar>
            <w:vAlign w:val="center"/>
          </w:tcPr>
          <w:p>
            <w:pPr>
              <w:spacing w:after="0" w:line="240"/>
            </w:pPr>
            <w:r>
              <w:rPr>
                <w:sz w:val="18"/>
                <w:szCs w:val="18"/>
              </w:rPr>
              <w:t xml:space="preserve">type, sévérité, état, preuve, action</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ImportBatch</w:t>
            </w:r>
          </w:p>
        </w:tc>
        <w:tc>
          <w:tcPr>
            <w:tcW w:type="dxa" w:w="3100"/>
            <w:shd w:fill="F7F9FC" w:val="clear"/>
            <w:tcMar>
              <w:top w:type="dxa" w:w="50"/>
              <w:left w:type="dxa" w:w="90"/>
              <w:bottom w:type="dxa" w:w="50"/>
              <w:right w:type="dxa" w:w="90"/>
            </w:tcMar>
            <w:vAlign w:val="center"/>
          </w:tcPr>
          <w:p>
            <w:pPr>
              <w:spacing w:after="0" w:line="240"/>
            </w:pPr>
            <w:r>
              <w:rPr>
                <w:sz w:val="18"/>
                <w:szCs w:val="18"/>
              </w:rPr>
              <w:t xml:space="preserve">Traçabilité d’import</w:t>
            </w:r>
          </w:p>
        </w:tc>
        <w:tc>
          <w:tcPr>
            <w:tcW w:type="dxa" w:w="4338"/>
            <w:shd w:fill="F7F9FC" w:val="clear"/>
            <w:tcMar>
              <w:top w:type="dxa" w:w="50"/>
              <w:left w:type="dxa" w:w="90"/>
              <w:bottom w:type="dxa" w:w="50"/>
              <w:right w:type="dxa" w:w="90"/>
            </w:tcMar>
            <w:vAlign w:val="center"/>
          </w:tcPr>
          <w:p>
            <w:pPr>
              <w:spacing w:after="0" w:line="240"/>
            </w:pPr>
            <w:r>
              <w:rPr>
                <w:sz w:val="18"/>
                <w:szCs w:val="18"/>
              </w:rPr>
              <w:t xml:space="preserve">fichier, hash, mapping, erreurs, statut</w:t>
            </w:r>
          </w:p>
        </w:tc>
      </w:tr>
      <w:tr>
        <w:tc>
          <w:tcPr>
            <w:tcW w:type="dxa" w:w="2200"/>
            <w:tcMar>
              <w:top w:type="dxa" w:w="50"/>
              <w:left w:type="dxa" w:w="90"/>
              <w:bottom w:type="dxa" w:w="50"/>
              <w:right w:type="dxa" w:w="90"/>
            </w:tcMar>
            <w:vAlign w:val="center"/>
          </w:tcPr>
          <w:p>
            <w:pPr>
              <w:spacing w:after="0" w:line="240"/>
            </w:pPr>
            <w:r>
              <w:rPr>
                <w:sz w:val="18"/>
                <w:szCs w:val="18"/>
              </w:rPr>
              <w:t xml:space="preserve">AuditLog</w:t>
            </w:r>
          </w:p>
        </w:tc>
        <w:tc>
          <w:tcPr>
            <w:tcW w:type="dxa" w:w="3100"/>
            <w:tcMar>
              <w:top w:type="dxa" w:w="50"/>
              <w:left w:type="dxa" w:w="90"/>
              <w:bottom w:type="dxa" w:w="50"/>
              <w:right w:type="dxa" w:w="90"/>
            </w:tcMar>
            <w:vAlign w:val="center"/>
          </w:tcPr>
          <w:p>
            <w:pPr>
              <w:spacing w:after="0" w:line="240"/>
            </w:pPr>
            <w:r>
              <w:rPr>
                <w:sz w:val="18"/>
                <w:szCs w:val="18"/>
              </w:rPr>
              <w:t xml:space="preserve">Journal append-only</w:t>
            </w:r>
          </w:p>
        </w:tc>
        <w:tc>
          <w:tcPr>
            <w:tcW w:type="dxa" w:w="4338"/>
            <w:tcMar>
              <w:top w:type="dxa" w:w="50"/>
              <w:left w:type="dxa" w:w="90"/>
              <w:bottom w:type="dxa" w:w="50"/>
              <w:right w:type="dxa" w:w="90"/>
            </w:tcMar>
            <w:vAlign w:val="center"/>
          </w:tcPr>
          <w:p>
            <w:pPr>
              <w:spacing w:after="0" w:line="240"/>
            </w:pPr>
            <w:r>
              <w:rPr>
                <w:sz w:val="18"/>
                <w:szCs w:val="18"/>
              </w:rPr>
              <w:t xml:space="preserve">événement, avant/après, auteur, horodatage</w:t>
            </w:r>
          </w:p>
        </w:tc>
      </w:tr>
    </w:tbl>
    <w:p>
      <w:pPr>
        <w:pStyle w:val="Heading2"/>
        <w:spacing w:after="120" w:before="240"/>
      </w:pPr>
      <w:r>
        <w:t xml:space="preserve">8.1 Relations essentielles</w:t>
      </w:r>
    </w:p>
    <w:p>
      <w:pPr>
        <w:keepLines/>
        <w:shd w:fill="F5F5F5" w:val="clear"/>
        <w:spacing w:after="0" w:line="240"/>
        <w:ind w:left="160" w:right="160"/>
      </w:pPr>
      <w:r>
        <w:rPr>
          <w:rFonts w:ascii="Consolas" w:cs="Consolas" w:eastAsia="Consolas" w:hAnsi="Consolas"/>
          <w:sz w:val="17"/>
          <w:szCs w:val="17"/>
        </w:rPr>
        <w:t xml:space="preserve">Account 1—N Transaction N—1 Instrument</w:t>
      </w:r>
    </w:p>
    <w:p>
      <w:pPr>
        <w:keepLines/>
        <w:shd w:fill="F5F5F5" w:val="clear"/>
        <w:spacing w:after="0" w:line="240"/>
        <w:ind w:left="160" w:right="160"/>
      </w:pPr>
      <w:r>
        <w:rPr>
          <w:rFonts w:ascii="Consolas" w:cs="Consolas" w:eastAsia="Consolas" w:hAnsi="Consolas"/>
          <w:sz w:val="17"/>
          <w:szCs w:val="17"/>
        </w:rPr>
        <w:t xml:space="preserve">Instrument 1—N Listing N—1 Market 1—N MarketHoliday   (un seul Listing marqué « référence »)</w:t>
      </w:r>
    </w:p>
    <w:p>
      <w:pPr>
        <w:keepLines/>
        <w:shd w:fill="F5F5F5" w:val="clear"/>
        <w:spacing w:after="0" w:line="240"/>
        <w:ind w:left="160" w:right="160"/>
      </w:pPr>
      <w:r>
        <w:rPr>
          <w:rFonts w:ascii="Consolas" w:cs="Consolas" w:eastAsia="Consolas" w:hAnsi="Consolas"/>
          <w:sz w:val="17"/>
          <w:szCs w:val="17"/>
        </w:rPr>
        <w:t xml:space="preserve">Listing 1—N MarketQuote ; MarketQuote × FxRate → valorisation en EUR</w:t>
      </w:r>
    </w:p>
    <w:p>
      <w:pPr>
        <w:keepLines/>
        <w:shd w:fill="F5F5F5" w:val="clear"/>
        <w:spacing w:after="0" w:line="240"/>
        <w:ind w:left="160" w:right="160"/>
      </w:pPr>
      <w:r>
        <w:rPr>
          <w:rFonts w:ascii="Consolas" w:cs="Consolas" w:eastAsia="Consolas" w:hAnsi="Consolas"/>
          <w:sz w:val="17"/>
          <w:szCs w:val="17"/>
        </w:rPr>
        <w:t xml:space="preserve">Instrument N—1 WithholdingRule (pays de l’émetteur × enveloppe)</w:t>
      </w:r>
    </w:p>
    <w:p>
      <w:pPr>
        <w:keepLines/>
        <w:shd w:fill="F5F5F5" w:val="clear"/>
        <w:spacing w:after="0" w:line="240"/>
        <w:ind w:left="160" w:right="160"/>
      </w:pPr>
      <w:r>
        <w:rPr>
          <w:rFonts w:ascii="Consolas" w:cs="Consolas" w:eastAsia="Consolas" w:hAnsi="Consolas"/>
          <w:sz w:val="17"/>
          <w:szCs w:val="17"/>
        </w:rPr>
        <w:t xml:space="preserve">Recommendation 1—N Scenario 1—N OrderIntent ; Scenario 1—N EntryGate ; Scenario 1—N TradeTranche</w:t>
      </w:r>
    </w:p>
    <w:p>
      <w:pPr>
        <w:keepLines/>
        <w:shd w:fill="F5F5F5" w:val="clear"/>
        <w:spacing w:after="0" w:line="240"/>
        <w:ind w:left="160" w:right="160"/>
      </w:pPr>
      <w:r>
        <w:rPr>
          <w:rFonts w:ascii="Consolas" w:cs="Consolas" w:eastAsia="Consolas" w:hAnsi="Consolas"/>
          <w:sz w:val="17"/>
          <w:szCs w:val="17"/>
        </w:rPr>
        <w:t xml:space="preserve">OrderIntent 0—1 BrokerOrder 1—N Transaction</w:t>
      </w:r>
    </w:p>
    <w:p>
      <w:pPr>
        <w:keepLines/>
        <w:shd w:fill="F5F5F5" w:val="clear"/>
        <w:spacing w:after="0" w:line="240"/>
        <w:ind w:left="160" w:right="160"/>
      </w:pPr>
      <w:r>
        <w:rPr>
          <w:rFonts w:ascii="Consolas" w:cs="Consolas" w:eastAsia="Consolas" w:hAnsi="Consolas"/>
          <w:sz w:val="17"/>
          <w:szCs w:val="17"/>
        </w:rPr>
        <w:t xml:space="preserve">Recommendation N—1 StrategyVersion ; Recommendation N—N SourceExtract N—1 SourceDocument</w:t>
      </w:r>
    </w:p>
    <w:p>
      <w:pPr>
        <w:keepLines/>
        <w:shd w:fill="F5F5F5" w:val="clear"/>
        <w:spacing w:after="0" w:line="240"/>
        <w:ind w:left="160" w:right="160"/>
      </w:pPr>
      <w:r>
        <w:rPr>
          <w:rFonts w:ascii="Consolas" w:cs="Consolas" w:eastAsia="Consolas" w:hAnsi="Consolas"/>
          <w:sz w:val="17"/>
          <w:szCs w:val="17"/>
        </w:rPr>
        <w:t xml:space="preserve">Transaction + CorporateEvent → PositionLot → PositionSnapshot → PortfolioSnapshot</w:t>
      </w:r>
    </w:p>
    <w:p>
      <w:pPr>
        <w:keepLines/>
        <w:shd w:fill="F5F5F5" w:val="clear"/>
        <w:spacing w:after="0" w:line="240"/>
        <w:ind w:left="160" w:right="160"/>
      </w:pPr>
      <w:r>
        <w:rPr>
          <w:rFonts w:ascii="Consolas" w:cs="Consolas" w:eastAsia="Consolas" w:hAnsi="Consolas"/>
          <w:sz w:val="17"/>
          <w:szCs w:val="17"/>
        </w:rPr>
        <w:t xml:space="preserve">Scenario + MarketQuote → Review → KpiResult → proposition de StrategyVersion</w:t>
      </w:r>
    </w:p>
    <w:p>
      <w:pPr>
        <w:keepLines/>
        <w:shd w:fill="F5F5F5" w:val="clear"/>
        <w:spacing w:after="120" w:line="240"/>
        <w:ind w:left="160" w:right="160"/>
      </w:pPr>
      <w:r>
        <w:rPr>
          <w:rFonts w:ascii="Consolas" w:cs="Consolas" w:eastAsia="Consolas" w:hAnsi="Consolas"/>
          <w:sz w:val="17"/>
          <w:szCs w:val="17"/>
        </w:rPr>
        <w:t xml:space="preserve">SRDCycle N—N Scenario ; RiskEvent N—N Scenario (gates / no-go)</w:t>
      </w:r>
    </w:p>
    <w:p>
      <w:pPr>
        <w:pStyle w:val="Heading2"/>
        <w:spacing w:after="120" w:before="240"/>
      </w:pPr>
      <w:r>
        <w:t xml:space="preserve">8.2 Conventions de base de données</w:t>
      </w:r>
    </w:p>
    <w:p>
      <w:pPr>
        <w:pStyle w:val="ListParagraph"/>
        <w:numPr>
          <w:ilvl w:val="0"/>
          <w:numId w:val="2"/>
        </w:numPr>
        <w:spacing w:after="60" w:line="264"/>
      </w:pPr>
      <w:r>
        <w:t xml:space="preserve">PostgreSQL 16 ; tables et colonnes en snake_case ; clés primaires UUID.</w:t>
      </w:r>
    </w:p>
    <w:p>
      <w:pPr>
        <w:pStyle w:val="ListParagraph"/>
        <w:numPr>
          <w:ilvl w:val="0"/>
          <w:numId w:val="2"/>
        </w:numPr>
        <w:spacing w:after="60" w:line="264"/>
      </w:pPr>
      <w:r>
        <w:t xml:space="preserve">Montants NUMERIC(20,6) ; quantités NUMERIC(20,6) (entières pour les actions) ; taux fx NUMERIC(20,6).</w:t>
      </w:r>
    </w:p>
    <w:p>
      <w:pPr>
        <w:pStyle w:val="ListParagraph"/>
        <w:numPr>
          <w:ilvl w:val="0"/>
          <w:numId w:val="2"/>
        </w:numPr>
        <w:spacing w:after="60" w:line="264"/>
      </w:pPr>
      <w:r>
        <w:t xml:space="preserve">Horodatages timestamptz stockés en UTC ; conversion à l’affichage (Europe/Paris par défaut).</w:t>
      </w:r>
    </w:p>
    <w:p>
      <w:pPr>
        <w:pStyle w:val="ListParagraph"/>
        <w:numPr>
          <w:ilvl w:val="0"/>
          <w:numId w:val="2"/>
        </w:numPr>
        <w:spacing w:after="60" w:line="264"/>
      </w:pPr>
      <w:r>
        <w:t xml:space="preserve">Migrations Alembic uniquement, réversibles (upgrade + downgrade testés) ; jamais de modification manuelle du schéma.</w:t>
      </w:r>
    </w:p>
    <w:p>
      <w:pPr>
        <w:pStyle w:val="ListParagraph"/>
        <w:numPr>
          <w:ilvl w:val="0"/>
          <w:numId w:val="2"/>
        </w:numPr>
        <w:spacing w:after="60" w:line="264"/>
      </w:pPr>
      <w:r>
        <w:t xml:space="preserve">Tables immuables (Recommendation, AuditLog) : insertion seule, aucune mise à jour ni suppression applicative.</w:t>
      </w:r>
    </w:p>
    <w:p>
      <w:r>
        <w:br w:type="page"/>
      </w:r>
    </w:p>
    <w:p>
      <w:pPr>
        <w:pStyle w:val="Heading1"/>
        <w:spacing w:after="140" w:before="300"/>
      </w:pPr>
      <w:r>
        <w:t xml:space="preserve">9. Interface web et ergonomie</w:t>
      </w:r>
    </w:p>
    <w:p>
      <w:pPr>
        <w:pStyle w:val="Heading2"/>
        <w:spacing w:after="120" w:before="240"/>
      </w:pPr>
      <w:r>
        <w:t xml:space="preserve">9.1 Écrans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138"/>
      </w:tblGrid>
      <w:tr>
        <w:trPr>
          <w:tblHeader/>
        </w:trPr>
        <w:tc>
          <w:tcPr>
            <w:tcW w:type="dxa" w:w="2500"/>
            <w:shd w:fill="1F3864" w:val="clear"/>
            <w:tcMar>
              <w:top w:type="dxa" w:w="50"/>
              <w:left w:type="dxa" w:w="90"/>
              <w:bottom w:type="dxa" w:w="50"/>
              <w:right w:type="dxa" w:w="90"/>
            </w:tcMar>
            <w:vAlign w:val="center"/>
          </w:tcPr>
          <w:p>
            <w:pPr>
              <w:spacing w:after="0" w:line="240"/>
            </w:pPr>
            <w:r>
              <w:rPr>
                <w:b/>
                <w:bCs/>
                <w:color w:val="FFFFFF"/>
                <w:sz w:val="18"/>
                <w:szCs w:val="18"/>
              </w:rPr>
              <w:t xml:space="preserve">Écran</w:t>
            </w:r>
          </w:p>
        </w:tc>
        <w:tc>
          <w:tcPr>
            <w:tcW w:type="dxa" w:w="7138"/>
            <w:shd w:fill="1F3864" w:val="clear"/>
            <w:tcMar>
              <w:top w:type="dxa" w:w="50"/>
              <w:left w:type="dxa" w:w="90"/>
              <w:bottom w:type="dxa" w:w="50"/>
              <w:right w:type="dxa" w:w="90"/>
            </w:tcMar>
            <w:vAlign w:val="center"/>
          </w:tcPr>
          <w:p>
            <w:pPr>
              <w:spacing w:after="0" w:line="240"/>
            </w:pPr>
            <w:r>
              <w:rPr>
                <w:b/>
                <w:bCs/>
                <w:color w:val="FFFFFF"/>
                <w:sz w:val="18"/>
                <w:szCs w:val="18"/>
              </w:rPr>
              <w:t xml:space="preserve">Fonction principale</w:t>
            </w:r>
          </w:p>
        </w:tc>
      </w:tr>
      <w:tr>
        <w:tc>
          <w:tcPr>
            <w:tcW w:type="dxa" w:w="2500"/>
            <w:tcMar>
              <w:top w:type="dxa" w:w="50"/>
              <w:left w:type="dxa" w:w="90"/>
              <w:bottom w:type="dxa" w:w="50"/>
              <w:right w:type="dxa" w:w="90"/>
            </w:tcMar>
            <w:vAlign w:val="center"/>
          </w:tcPr>
          <w:p>
            <w:pPr>
              <w:spacing w:after="0" w:line="240"/>
            </w:pPr>
            <w:r>
              <w:rPr>
                <w:sz w:val="18"/>
                <w:szCs w:val="18"/>
              </w:rPr>
              <w:t xml:space="preserve">Accueil / Dashboard</w:t>
            </w:r>
          </w:p>
        </w:tc>
        <w:tc>
          <w:tcPr>
            <w:tcW w:type="dxa" w:w="7138"/>
            <w:tcMar>
              <w:top w:type="dxa" w:w="50"/>
              <w:left w:type="dxa" w:w="90"/>
              <w:bottom w:type="dxa" w:w="50"/>
              <w:right w:type="dxa" w:w="90"/>
            </w:tcMar>
            <w:vAlign w:val="center"/>
          </w:tcPr>
          <w:p>
            <w:pPr>
              <w:spacing w:after="0" w:line="240"/>
            </w:pPr>
            <w:r>
              <w:rPr>
                <w:sz w:val="18"/>
                <w:szCs w:val="18"/>
              </w:rPr>
              <w:t xml:space="preserve">NAV, cash disponible, exposition, heat, P/L, alertes critiques, agenda, actions du jour.</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Portefeuille</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Vue multi-comptes : positions, stops, objectifs, score, P/L, exposition, fraîcheur des données.</w:t>
            </w:r>
          </w:p>
        </w:tc>
      </w:tr>
      <w:tr>
        <w:tc>
          <w:tcPr>
            <w:tcW w:type="dxa" w:w="2500"/>
            <w:tcMar>
              <w:top w:type="dxa" w:w="50"/>
              <w:left w:type="dxa" w:w="90"/>
              <w:bottom w:type="dxa" w:w="50"/>
              <w:right w:type="dxa" w:w="90"/>
            </w:tcMar>
            <w:vAlign w:val="center"/>
          </w:tcPr>
          <w:p>
            <w:pPr>
              <w:spacing w:after="0" w:line="240"/>
            </w:pPr>
            <w:r>
              <w:rPr>
                <w:sz w:val="18"/>
                <w:szCs w:val="18"/>
              </w:rPr>
              <w:t xml:space="preserve">Fiche valeur</w:t>
            </w:r>
          </w:p>
        </w:tc>
        <w:tc>
          <w:tcPr>
            <w:tcW w:type="dxa" w:w="7138"/>
            <w:tcMar>
              <w:top w:type="dxa" w:w="50"/>
              <w:left w:type="dxa" w:w="90"/>
              <w:bottom w:type="dxa" w:w="50"/>
              <w:right w:type="dxa" w:w="90"/>
            </w:tcMar>
            <w:vAlign w:val="center"/>
          </w:tcPr>
          <w:p>
            <w:pPr>
              <w:spacing w:after="0" w:line="240"/>
            </w:pPr>
            <w:r>
              <w:rPr>
                <w:sz w:val="18"/>
                <w:szCs w:val="18"/>
              </w:rPr>
              <w:t xml:space="preserve">Historique 12 mois, sources, news, scénarios, transactions, performance, calendrier.</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Fiche de trade</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Grade, score, gates, validation de publication, tranches, +1R, breakout, stops successifs, objectifs, invalidation.</w:t>
            </w:r>
          </w:p>
        </w:tc>
      </w:tr>
      <w:tr>
        <w:tc>
          <w:tcPr>
            <w:tcW w:type="dxa" w:w="2500"/>
            <w:tcMar>
              <w:top w:type="dxa" w:w="50"/>
              <w:left w:type="dxa" w:w="90"/>
              <w:bottom w:type="dxa" w:w="50"/>
              <w:right w:type="dxa" w:w="90"/>
            </w:tcMar>
            <w:vAlign w:val="center"/>
          </w:tcPr>
          <w:p>
            <w:pPr>
              <w:spacing w:after="0" w:line="240"/>
            </w:pPr>
            <w:r>
              <w:rPr>
                <w:sz w:val="18"/>
                <w:szCs w:val="18"/>
              </w:rPr>
              <w:t xml:space="preserve">Préconisations</w:t>
            </w:r>
          </w:p>
        </w:tc>
        <w:tc>
          <w:tcPr>
            <w:tcW w:type="dxa" w:w="7138"/>
            <w:tcMar>
              <w:top w:type="dxa" w:w="50"/>
              <w:left w:type="dxa" w:w="90"/>
              <w:bottom w:type="dxa" w:w="50"/>
              <w:right w:type="dxa" w:w="90"/>
            </w:tcMar>
            <w:vAlign w:val="center"/>
          </w:tcPr>
          <w:p>
            <w:pPr>
              <w:spacing w:after="0" w:line="240"/>
            </w:pPr>
            <w:r>
              <w:rPr>
                <w:sz w:val="18"/>
                <w:szCs w:val="18"/>
              </w:rPr>
              <w:t xml:space="preserve">Liste versionnée, filtres, acceptation/refus, ordre potentiel, justification.</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Ordres</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Ordres potentiels/réels, OCO, contrôle des quantités, orphelins, statut.</w:t>
            </w:r>
          </w:p>
        </w:tc>
      </w:tr>
      <w:tr>
        <w:tc>
          <w:tcPr>
            <w:tcW w:type="dxa" w:w="2500"/>
            <w:tcMar>
              <w:top w:type="dxa" w:w="50"/>
              <w:left w:type="dxa" w:w="90"/>
              <w:bottom w:type="dxa" w:w="50"/>
              <w:right w:type="dxa" w:w="90"/>
            </w:tcMar>
            <w:vAlign w:val="center"/>
          </w:tcPr>
          <w:p>
            <w:pPr>
              <w:spacing w:after="0" w:line="240"/>
            </w:pPr>
            <w:r>
              <w:rPr>
                <w:sz w:val="18"/>
                <w:szCs w:val="18"/>
              </w:rPr>
              <w:t xml:space="preserve">Transactions</w:t>
            </w:r>
          </w:p>
        </w:tc>
        <w:tc>
          <w:tcPr>
            <w:tcW w:type="dxa" w:w="7138"/>
            <w:tcMar>
              <w:top w:type="dxa" w:w="50"/>
              <w:left w:type="dxa" w:w="90"/>
              <w:bottom w:type="dxa" w:w="50"/>
              <w:right w:type="dxa" w:w="90"/>
            </w:tcMar>
            <w:vAlign w:val="center"/>
          </w:tcPr>
          <w:p>
            <w:pPr>
              <w:spacing w:after="0" w:line="240"/>
            </w:pPr>
            <w:r>
              <w:rPr>
                <w:sz w:val="18"/>
                <w:szCs w:val="18"/>
              </w:rPr>
              <w:t xml:space="preserve">Journal, import, rapprochement, frais, change, opérations sur titres.</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Scénarios</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Base/bull/bear, entrée, stop, objectifs, probabilité, valeur attendue, machine d’états.</w:t>
            </w:r>
          </w:p>
        </w:tc>
      </w:tr>
      <w:tr>
        <w:tc>
          <w:tcPr>
            <w:tcW w:type="dxa" w:w="2500"/>
            <w:tcMar>
              <w:top w:type="dxa" w:w="50"/>
              <w:left w:type="dxa" w:w="90"/>
              <w:bottom w:type="dxa" w:w="50"/>
              <w:right w:type="dxa" w:w="90"/>
            </w:tcMar>
            <w:vAlign w:val="center"/>
          </w:tcPr>
          <w:p>
            <w:pPr>
              <w:spacing w:after="0" w:line="240"/>
            </w:pPr>
            <w:r>
              <w:rPr>
                <w:sz w:val="18"/>
                <w:szCs w:val="18"/>
              </w:rPr>
              <w:t xml:space="preserve">Heat &amp; risques</w:t>
            </w:r>
          </w:p>
        </w:tc>
        <w:tc>
          <w:tcPr>
            <w:tcW w:type="dxa" w:w="7138"/>
            <w:tcMar>
              <w:top w:type="dxa" w:w="50"/>
              <w:left w:type="dxa" w:w="90"/>
              <w:bottom w:type="dxa" w:w="50"/>
              <w:right w:type="dxa" w:w="90"/>
            </w:tcMar>
            <w:vAlign w:val="center"/>
          </w:tcPr>
          <w:p>
            <w:pPr>
              <w:spacing w:after="0" w:line="240"/>
            </w:pPr>
            <w:r>
              <w:rPr>
                <w:sz w:val="18"/>
                <w:szCs w:val="18"/>
              </w:rPr>
              <w:t xml:space="preserve">Heat total et par compte, marge jusqu’au plafond, stress de gap par zone, stress de change, concentration, positions sans stop.</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Marchés &amp; devises</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Places, sessions, jours fériés, statut ouvert/fermé en direct, exposition et stress par devise, taux utilisés et leur fraîcheur, positions exposées hors fenêtre de surveillance.</w:t>
            </w:r>
          </w:p>
        </w:tc>
      </w:tr>
      <w:tr>
        <w:tc>
          <w:tcPr>
            <w:tcW w:type="dxa" w:w="2500"/>
            <w:tcMar>
              <w:top w:type="dxa" w:w="50"/>
              <w:left w:type="dxa" w:w="90"/>
              <w:bottom w:type="dxa" w:w="50"/>
              <w:right w:type="dxa" w:w="90"/>
            </w:tcMar>
            <w:vAlign w:val="center"/>
          </w:tcPr>
          <w:p>
            <w:pPr>
              <w:spacing w:after="0" w:line="240"/>
            </w:pPr>
            <w:r>
              <w:rPr>
                <w:sz w:val="18"/>
                <w:szCs w:val="18"/>
              </w:rPr>
              <w:t xml:space="preserve">Calendrier de décision</w:t>
            </w:r>
          </w:p>
        </w:tc>
        <w:tc>
          <w:tcPr>
            <w:tcW w:type="dxa" w:w="7138"/>
            <w:tcMar>
              <w:top w:type="dxa" w:w="50"/>
              <w:left w:type="dxa" w:w="90"/>
              <w:bottom w:type="dxa" w:w="50"/>
              <w:right w:type="dxa" w:w="90"/>
            </w:tcMar>
            <w:vAlign w:val="center"/>
          </w:tcPr>
          <w:p>
            <w:pPr>
              <w:spacing w:after="0" w:line="240"/>
            </w:pPr>
            <w:r>
              <w:rPr>
                <w:sz w:val="18"/>
                <w:szCs w:val="18"/>
              </w:rPr>
              <w:t xml:space="preserve">Résultats, BCE/Fed, inflation, dividendes, liquidation SRD, deadlines internes, fenêtres no-go.</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Rituel 15 minutes</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Stops à remonter, objectifs atteints, SRD à décider, anomalies, meilleure opportunité, NO TRADE.</w:t>
            </w:r>
          </w:p>
        </w:tc>
      </w:tr>
      <w:tr>
        <w:tc>
          <w:tcPr>
            <w:tcW w:type="dxa" w:w="2500"/>
            <w:tcMar>
              <w:top w:type="dxa" w:w="50"/>
              <w:left w:type="dxa" w:w="90"/>
              <w:bottom w:type="dxa" w:w="50"/>
              <w:right w:type="dxa" w:w="90"/>
            </w:tcMar>
            <w:vAlign w:val="center"/>
          </w:tcPr>
          <w:p>
            <w:pPr>
              <w:spacing w:after="0" w:line="240"/>
            </w:pPr>
            <w:r>
              <w:rPr>
                <w:sz w:val="18"/>
                <w:szCs w:val="18"/>
              </w:rPr>
              <w:t xml:space="preserve">KPI &amp; Performance</w:t>
            </w:r>
          </w:p>
        </w:tc>
        <w:tc>
          <w:tcPr>
            <w:tcW w:type="dxa" w:w="7138"/>
            <w:tcMar>
              <w:top w:type="dxa" w:w="50"/>
              <w:left w:type="dxa" w:w="90"/>
              <w:bottom w:type="dxa" w:w="50"/>
              <w:right w:type="dxa" w:w="90"/>
            </w:tcMar>
            <w:vAlign w:val="center"/>
          </w:tcPr>
          <w:p>
            <w:pPr>
              <w:spacing w:after="0" w:line="240"/>
            </w:pPr>
            <w:r>
              <w:rPr>
                <w:sz w:val="18"/>
                <w:szCs w:val="18"/>
              </w:rPr>
              <w:t xml:space="preserve">Courbes, périodes, attribution, segments, recommandations exécutées / non exécutées.</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Revue de stratégie</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Ce qui a fonctionné, propositions, confiance, backtest, validation.</w:t>
            </w:r>
          </w:p>
        </w:tc>
      </w:tr>
      <w:tr>
        <w:tc>
          <w:tcPr>
            <w:tcW w:type="dxa" w:w="2500"/>
            <w:tcMar>
              <w:top w:type="dxa" w:w="50"/>
              <w:left w:type="dxa" w:w="90"/>
              <w:bottom w:type="dxa" w:w="50"/>
              <w:right w:type="dxa" w:w="90"/>
            </w:tcMar>
            <w:vAlign w:val="center"/>
          </w:tcPr>
          <w:p>
            <w:pPr>
              <w:spacing w:after="0" w:line="240"/>
            </w:pPr>
            <w:r>
              <w:rPr>
                <w:sz w:val="18"/>
                <w:szCs w:val="18"/>
              </w:rPr>
              <w:t xml:space="preserve">Plan DCA PEA</w:t>
            </w:r>
          </w:p>
        </w:tc>
        <w:tc>
          <w:tcPr>
            <w:tcW w:type="dxa" w:w="7138"/>
            <w:tcMar>
              <w:top w:type="dxa" w:w="50"/>
              <w:left w:type="dxa" w:w="90"/>
              <w:bottom w:type="dxa" w:w="50"/>
              <w:right w:type="dxa" w:w="90"/>
            </w:tcMar>
            <w:vAlign w:val="center"/>
          </w:tcPr>
          <w:p>
            <w:pPr>
              <w:spacing w:after="0" w:line="240"/>
            </w:pPr>
            <w:r>
              <w:rPr>
                <w:sz w:val="18"/>
                <w:szCs w:val="18"/>
              </w:rPr>
              <w:t xml:space="preserve">Allocation cible/réelle, prochains versements, seuil de gratuité, timing, règle −15 %, chevauchement ETF.</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Fiscalité de gestion</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P/L annuel, pertes reportables, simulations de vente fiscale, fiscal vs économique.</w:t>
            </w:r>
          </w:p>
        </w:tc>
      </w:tr>
      <w:tr>
        <w:tc>
          <w:tcPr>
            <w:tcW w:type="dxa" w:w="2500"/>
            <w:tcMar>
              <w:top w:type="dxa" w:w="50"/>
              <w:left w:type="dxa" w:w="90"/>
              <w:bottom w:type="dxa" w:w="50"/>
              <w:right w:type="dxa" w:w="90"/>
            </w:tcMar>
            <w:vAlign w:val="center"/>
          </w:tcPr>
          <w:p>
            <w:pPr>
              <w:spacing w:after="0" w:line="240"/>
            </w:pPr>
            <w:r>
              <w:rPr>
                <w:sz w:val="18"/>
                <w:szCs w:val="18"/>
              </w:rPr>
              <w:t xml:space="preserve">Sources</w:t>
            </w:r>
          </w:p>
        </w:tc>
        <w:tc>
          <w:tcPr>
            <w:tcW w:type="dxa" w:w="7138"/>
            <w:tcMar>
              <w:top w:type="dxa" w:w="50"/>
              <w:left w:type="dxa" w:w="90"/>
              <w:bottom w:type="dxa" w:w="50"/>
              <w:right w:type="dxa" w:w="90"/>
            </w:tcMar>
            <w:vAlign w:val="center"/>
          </w:tcPr>
          <w:p>
            <w:pPr>
              <w:spacing w:after="0" w:line="240"/>
            </w:pPr>
            <w:r>
              <w:rPr>
                <w:sz w:val="18"/>
                <w:szCs w:val="18"/>
              </w:rPr>
              <w:t xml:space="preserve">Documents, extractions, citations, date, qualité, instruments liés.</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Import Claude</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Choix du projet, aperçu, règles détectées, validation manuelle, exclusions.</w:t>
            </w:r>
          </w:p>
        </w:tc>
      </w:tr>
      <w:tr>
        <w:tc>
          <w:tcPr>
            <w:tcW w:type="dxa" w:w="2500"/>
            <w:tcMar>
              <w:top w:type="dxa" w:w="50"/>
              <w:left w:type="dxa" w:w="90"/>
              <w:bottom w:type="dxa" w:w="50"/>
              <w:right w:type="dxa" w:w="90"/>
            </w:tcMar>
            <w:vAlign w:val="center"/>
          </w:tcPr>
          <w:p>
            <w:pPr>
              <w:spacing w:after="0" w:line="240"/>
            </w:pPr>
            <w:r>
              <w:rPr>
                <w:sz w:val="18"/>
                <w:szCs w:val="18"/>
              </w:rPr>
              <w:t xml:space="preserve">Incidents courtiers</w:t>
            </w:r>
          </w:p>
        </w:tc>
        <w:tc>
          <w:tcPr>
            <w:tcW w:type="dxa" w:w="7138"/>
            <w:tcMar>
              <w:top w:type="dxa" w:w="50"/>
              <w:left w:type="dxa" w:w="90"/>
              <w:bottom w:type="dxa" w:w="50"/>
              <w:right w:type="dxa" w:w="90"/>
            </w:tcMar>
            <w:vAlign w:val="center"/>
          </w:tcPr>
          <w:p>
            <w:pPr>
              <w:spacing w:after="0" w:line="240"/>
            </w:pPr>
            <w:r>
              <w:rPr>
                <w:sz w:val="18"/>
                <w:szCs w:val="18"/>
              </w:rPr>
              <w:t xml:space="preserve">Bugs, captures, ordres bloqués, compte de substitution, coûts, enseignements.</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Liquidités / Patrimoine</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Poches, réserve immobilière, disponibilité, capacité d’investissement.</w:t>
            </w:r>
          </w:p>
        </w:tc>
      </w:tr>
      <w:tr>
        <w:tc>
          <w:tcPr>
            <w:tcW w:type="dxa" w:w="2500"/>
            <w:tcMar>
              <w:top w:type="dxa" w:w="50"/>
              <w:left w:type="dxa" w:w="90"/>
              <w:bottom w:type="dxa" w:w="50"/>
              <w:right w:type="dxa" w:w="90"/>
            </w:tcMar>
            <w:vAlign w:val="center"/>
          </w:tcPr>
          <w:p>
            <w:pPr>
              <w:spacing w:after="0" w:line="240"/>
            </w:pPr>
            <w:r>
              <w:rPr>
                <w:sz w:val="18"/>
                <w:szCs w:val="18"/>
              </w:rPr>
              <w:t xml:space="preserve">Imports / Qualité</w:t>
            </w:r>
          </w:p>
        </w:tc>
        <w:tc>
          <w:tcPr>
            <w:tcW w:type="dxa" w:w="7138"/>
            <w:tcMar>
              <w:top w:type="dxa" w:w="50"/>
              <w:left w:type="dxa" w:w="90"/>
              <w:bottom w:type="dxa" w:w="50"/>
              <w:right w:type="dxa" w:w="90"/>
            </w:tcMar>
            <w:vAlign w:val="center"/>
          </w:tcPr>
          <w:p>
            <w:pPr>
              <w:spacing w:after="0" w:line="240"/>
            </w:pPr>
            <w:r>
              <w:rPr>
                <w:sz w:val="18"/>
                <w:szCs w:val="18"/>
              </w:rPr>
              <w:t xml:space="preserve">Lots importés, mapping, anomalies, rapprochement, corrections.</w:t>
            </w:r>
          </w:p>
        </w:tc>
      </w:tr>
      <w:tr>
        <w:tc>
          <w:tcPr>
            <w:tcW w:type="dxa" w:w="2500"/>
            <w:shd w:fill="F7F9FC" w:val="clear"/>
            <w:tcMar>
              <w:top w:type="dxa" w:w="50"/>
              <w:left w:type="dxa" w:w="90"/>
              <w:bottom w:type="dxa" w:w="50"/>
              <w:right w:type="dxa" w:w="90"/>
            </w:tcMar>
            <w:vAlign w:val="center"/>
          </w:tcPr>
          <w:p>
            <w:pPr>
              <w:spacing w:after="0" w:line="240"/>
            </w:pPr>
            <w:r>
              <w:rPr>
                <w:sz w:val="18"/>
                <w:szCs w:val="18"/>
              </w:rPr>
              <w:t xml:space="preserve">Paramètres</w:t>
            </w:r>
          </w:p>
        </w:tc>
        <w:tc>
          <w:tcPr>
            <w:tcW w:type="dxa" w:w="7138"/>
            <w:shd w:fill="F7F9FC" w:val="clear"/>
            <w:tcMar>
              <w:top w:type="dxa" w:w="50"/>
              <w:left w:type="dxa" w:w="90"/>
              <w:bottom w:type="dxa" w:w="50"/>
              <w:right w:type="dxa" w:w="90"/>
            </w:tcMar>
            <w:vAlign w:val="center"/>
          </w:tcPr>
          <w:p>
            <w:pPr>
              <w:spacing w:after="0" w:line="240"/>
            </w:pPr>
            <w:r>
              <w:rPr>
                <w:sz w:val="18"/>
                <w:szCs w:val="18"/>
              </w:rPr>
              <w:t xml:space="preserve">Règles, capital, risque, sources, devises, sauvegarde, sécurité.</w:t>
            </w:r>
          </w:p>
        </w:tc>
      </w:tr>
    </w:tbl>
    <w:p>
      <w:pPr>
        <w:pStyle w:val="Heading2"/>
        <w:spacing w:after="120" w:before="240"/>
      </w:pPr>
      <w:r>
        <w:t xml:space="preserve">9.2 Principes UX</w:t>
      </w:r>
    </w:p>
    <w:p>
      <w:pPr>
        <w:pStyle w:val="ListParagraph"/>
        <w:numPr>
          <w:ilvl w:val="0"/>
          <w:numId w:val="2"/>
        </w:numPr>
        <w:spacing w:after="60" w:line="264"/>
      </w:pPr>
      <w:r>
        <w:t xml:space="preserve">Responsive desktop/tablette ; priorité à la lecture sur écran large.</w:t>
      </w:r>
    </w:p>
    <w:p>
      <w:pPr>
        <w:pStyle w:val="ListParagraph"/>
        <w:numPr>
          <w:ilvl w:val="0"/>
          <w:numId w:val="2"/>
        </w:numPr>
        <w:spacing w:after="60" w:line="264"/>
      </w:pPr>
      <w:r>
        <w:t xml:space="preserve">Code couleur sobre : rouge = risque/action critique, orange = vigilance, vert = validation, gris = information différée.</w:t>
      </w:r>
    </w:p>
    <w:p>
      <w:pPr>
        <w:pStyle w:val="ListParagraph"/>
        <w:numPr>
          <w:ilvl w:val="0"/>
          <w:numId w:val="2"/>
        </w:numPr>
        <w:spacing w:after="60" w:line="264"/>
      </w:pPr>
      <w:r>
        <w:t xml:space="preserve">Toute donnée de marché affiche source et horodatage (survol ou colonne dédiée).</w:t>
      </w:r>
    </w:p>
    <w:p>
      <w:pPr>
        <w:pStyle w:val="ListParagraph"/>
        <w:numPr>
          <w:ilvl w:val="0"/>
          <w:numId w:val="2"/>
        </w:numPr>
        <w:spacing w:after="60" w:line="264"/>
      </w:pPr>
      <w:r>
        <w:t xml:space="preserve">Aucune action destructrice sans confirmation ; corrections manuelles annulables.</w:t>
      </w:r>
    </w:p>
    <w:p>
      <w:pPr>
        <w:pStyle w:val="ListParagraph"/>
        <w:numPr>
          <w:ilvl w:val="0"/>
          <w:numId w:val="2"/>
        </w:numPr>
        <w:spacing w:after="60" w:line="264"/>
      </w:pPr>
      <w:r>
        <w:t xml:space="preserve">Filtres persistants ; export CSV/PDF/Markdown des vues et rapports.</w:t>
      </w:r>
    </w:p>
    <w:p>
      <w:pPr>
        <w:pStyle w:val="ListParagraph"/>
        <w:numPr>
          <w:ilvl w:val="0"/>
          <w:numId w:val="2"/>
        </w:numPr>
        <w:spacing w:after="60" w:line="264"/>
      </w:pPr>
      <w:r>
        <w:t xml:space="preserve">Le dashboard du jour est exploitable en moins de quinze minutes.</w:t>
      </w:r>
    </w:p>
    <w:p>
      <w:r>
        <w:br w:type="page"/>
      </w:r>
    </w:p>
    <w:p>
      <w:pPr>
        <w:pStyle w:val="Heading1"/>
        <w:spacing w:after="140" w:before="300"/>
      </w:pPr>
      <w:r>
        <w:t xml:space="preserve">10. Architecture technique locale</w:t>
      </w:r>
    </w:p>
    <w:p>
      <w:pPr>
        <w:pStyle w:val="Heading2"/>
        <w:spacing w:after="120" w:before="240"/>
      </w:pPr>
      <w:r>
        <w:t xml:space="preserve">10.1 Pile technique de référence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4100"/>
        <w:gridCol w:w="4038"/>
      </w:tblGrid>
      <w:tr>
        <w:trPr>
          <w:tblHeader/>
        </w:trPr>
        <w:tc>
          <w:tcPr>
            <w:tcW w:type="dxa" w:w="1500"/>
            <w:shd w:fill="1F3864" w:val="clear"/>
            <w:tcMar>
              <w:top w:type="dxa" w:w="50"/>
              <w:left w:type="dxa" w:w="90"/>
              <w:bottom w:type="dxa" w:w="50"/>
              <w:right w:type="dxa" w:w="90"/>
            </w:tcMar>
            <w:vAlign w:val="center"/>
          </w:tcPr>
          <w:p>
            <w:pPr>
              <w:spacing w:after="0" w:line="240"/>
            </w:pPr>
            <w:r>
              <w:rPr>
                <w:b/>
                <w:bCs/>
                <w:color w:val="FFFFFF"/>
                <w:sz w:val="18"/>
                <w:szCs w:val="18"/>
              </w:rPr>
              <w:t xml:space="preserve">Couche</w:t>
            </w:r>
          </w:p>
        </w:tc>
        <w:tc>
          <w:tcPr>
            <w:tcW w:type="dxa" w:w="4100"/>
            <w:shd w:fill="1F3864" w:val="clear"/>
            <w:tcMar>
              <w:top w:type="dxa" w:w="50"/>
              <w:left w:type="dxa" w:w="90"/>
              <w:bottom w:type="dxa" w:w="50"/>
              <w:right w:type="dxa" w:w="90"/>
            </w:tcMar>
            <w:vAlign w:val="center"/>
          </w:tcPr>
          <w:p>
            <w:pPr>
              <w:spacing w:after="0" w:line="240"/>
            </w:pPr>
            <w:r>
              <w:rPr>
                <w:b/>
                <w:bCs/>
                <w:color w:val="FFFFFF"/>
                <w:sz w:val="18"/>
                <w:szCs w:val="18"/>
              </w:rPr>
              <w:t xml:space="preserve">Technologie imposée</w:t>
            </w:r>
          </w:p>
        </w:tc>
        <w:tc>
          <w:tcPr>
            <w:tcW w:type="dxa" w:w="4038"/>
            <w:shd w:fill="1F3864" w:val="clear"/>
            <w:tcMar>
              <w:top w:type="dxa" w:w="50"/>
              <w:left w:type="dxa" w:w="90"/>
              <w:bottom w:type="dxa" w:w="50"/>
              <w:right w:type="dxa" w:w="90"/>
            </w:tcMar>
            <w:vAlign w:val="center"/>
          </w:tcPr>
          <w:p>
            <w:pPr>
              <w:spacing w:after="0" w:line="240"/>
            </w:pPr>
            <w:r>
              <w:rPr>
                <w:b/>
                <w:bCs/>
                <w:color w:val="FFFFFF"/>
                <w:sz w:val="18"/>
                <w:szCs w:val="18"/>
              </w:rPr>
              <w:t xml:space="preserve">Responsabilité</w:t>
            </w:r>
          </w:p>
        </w:tc>
      </w:tr>
      <w:tr>
        <w:tc>
          <w:tcPr>
            <w:tcW w:type="dxa" w:w="1500"/>
            <w:tcMar>
              <w:top w:type="dxa" w:w="50"/>
              <w:left w:type="dxa" w:w="90"/>
              <w:bottom w:type="dxa" w:w="50"/>
              <w:right w:type="dxa" w:w="90"/>
            </w:tcMar>
            <w:vAlign w:val="center"/>
          </w:tcPr>
          <w:p>
            <w:pPr>
              <w:spacing w:after="0" w:line="240"/>
            </w:pPr>
            <w:r>
              <w:rPr>
                <w:sz w:val="18"/>
                <w:szCs w:val="18"/>
              </w:rPr>
              <w:t xml:space="preserve">Interface</w:t>
            </w:r>
          </w:p>
        </w:tc>
        <w:tc>
          <w:tcPr>
            <w:tcW w:type="dxa" w:w="4100"/>
            <w:tcMar>
              <w:top w:type="dxa" w:w="50"/>
              <w:left w:type="dxa" w:w="90"/>
              <w:bottom w:type="dxa" w:w="50"/>
              <w:right w:type="dxa" w:w="90"/>
            </w:tcMar>
            <w:vAlign w:val="center"/>
          </w:tcPr>
          <w:p>
            <w:pPr>
              <w:spacing w:after="0" w:line="240"/>
            </w:pPr>
            <w:r>
              <w:rPr>
                <w:sz w:val="18"/>
                <w:szCs w:val="18"/>
              </w:rPr>
              <w:t xml:space="preserve">React 18 + TypeScript (strict) + Vite ; TanStack Query/Table ; ECharts ou Recharts ; Vitest</w:t>
            </w:r>
          </w:p>
        </w:tc>
        <w:tc>
          <w:tcPr>
            <w:tcW w:type="dxa" w:w="4038"/>
            <w:tcMar>
              <w:top w:type="dxa" w:w="50"/>
              <w:left w:type="dxa" w:w="90"/>
              <w:bottom w:type="dxa" w:w="50"/>
              <w:right w:type="dxa" w:w="90"/>
            </w:tcMar>
            <w:vAlign w:val="center"/>
          </w:tcPr>
          <w:p>
            <w:pPr>
              <w:spacing w:after="0" w:line="240"/>
            </w:pPr>
            <w:r>
              <w:rPr>
                <w:sz w:val="18"/>
                <w:szCs w:val="18"/>
              </w:rPr>
              <w:t xml:space="preserve">Écrans, formulaires, graphiques, filtres, état local.</w:t>
            </w:r>
          </w:p>
        </w:tc>
      </w:tr>
      <w:tr>
        <w:tc>
          <w:tcPr>
            <w:tcW w:type="dxa" w:w="1500"/>
            <w:shd w:fill="F7F9FC" w:val="clear"/>
            <w:tcMar>
              <w:top w:type="dxa" w:w="50"/>
              <w:left w:type="dxa" w:w="90"/>
              <w:bottom w:type="dxa" w:w="50"/>
              <w:right w:type="dxa" w:w="90"/>
            </w:tcMar>
            <w:vAlign w:val="center"/>
          </w:tcPr>
          <w:p>
            <w:pPr>
              <w:spacing w:after="0" w:line="240"/>
            </w:pPr>
            <w:r>
              <w:rPr>
                <w:sz w:val="18"/>
                <w:szCs w:val="18"/>
              </w:rPr>
              <w:t xml:space="preserve">API</w:t>
            </w:r>
          </w:p>
        </w:tc>
        <w:tc>
          <w:tcPr>
            <w:tcW w:type="dxa" w:w="4100"/>
            <w:shd w:fill="F7F9FC" w:val="clear"/>
            <w:tcMar>
              <w:top w:type="dxa" w:w="50"/>
              <w:left w:type="dxa" w:w="90"/>
              <w:bottom w:type="dxa" w:w="50"/>
              <w:right w:type="dxa" w:w="90"/>
            </w:tcMar>
            <w:vAlign w:val="center"/>
          </w:tcPr>
          <w:p>
            <w:pPr>
              <w:spacing w:after="0" w:line="240"/>
            </w:pPr>
            <w:r>
              <w:rPr>
                <w:sz w:val="18"/>
                <w:szCs w:val="18"/>
              </w:rPr>
              <w:t xml:space="preserve">Python 3.12 + FastAPI + Pydantic v2 ; OpenAPI générée, préfixe /api/v1</w:t>
            </w:r>
          </w:p>
        </w:tc>
        <w:tc>
          <w:tcPr>
            <w:tcW w:type="dxa" w:w="4038"/>
            <w:shd w:fill="F7F9FC" w:val="clear"/>
            <w:tcMar>
              <w:top w:type="dxa" w:w="50"/>
              <w:left w:type="dxa" w:w="90"/>
              <w:bottom w:type="dxa" w:w="50"/>
              <w:right w:type="dxa" w:w="90"/>
            </w:tcMar>
            <w:vAlign w:val="center"/>
          </w:tcPr>
          <w:p>
            <w:pPr>
              <w:spacing w:after="0" w:line="240"/>
            </w:pPr>
            <w:r>
              <w:rPr>
                <w:sz w:val="18"/>
                <w:szCs w:val="18"/>
              </w:rPr>
              <w:t xml:space="preserve">Règles métier, validation, API REST, WebSocket optionnel.</w:t>
            </w:r>
          </w:p>
        </w:tc>
      </w:tr>
      <w:tr>
        <w:tc>
          <w:tcPr>
            <w:tcW w:type="dxa" w:w="1500"/>
            <w:tcMar>
              <w:top w:type="dxa" w:w="50"/>
              <w:left w:type="dxa" w:w="90"/>
              <w:bottom w:type="dxa" w:w="50"/>
              <w:right w:type="dxa" w:w="90"/>
            </w:tcMar>
            <w:vAlign w:val="center"/>
          </w:tcPr>
          <w:p>
            <w:pPr>
              <w:spacing w:after="0" w:line="240"/>
            </w:pPr>
            <w:r>
              <w:rPr>
                <w:sz w:val="18"/>
                <w:szCs w:val="18"/>
              </w:rPr>
              <w:t xml:space="preserve">Calcul / données</w:t>
            </w:r>
          </w:p>
        </w:tc>
        <w:tc>
          <w:tcPr>
            <w:tcW w:type="dxa" w:w="4100"/>
            <w:tcMar>
              <w:top w:type="dxa" w:w="50"/>
              <w:left w:type="dxa" w:w="90"/>
              <w:bottom w:type="dxa" w:w="50"/>
              <w:right w:type="dxa" w:w="90"/>
            </w:tcMar>
            <w:vAlign w:val="center"/>
          </w:tcPr>
          <w:p>
            <w:pPr>
              <w:spacing w:after="0" w:line="240"/>
            </w:pPr>
            <w:r>
              <w:rPr>
                <w:sz w:val="18"/>
                <w:szCs w:val="18"/>
              </w:rPr>
              <w:t xml:space="preserve">Polars + NumPy ; Decimal pour tout montant ; moteur déterministe</w:t>
            </w:r>
          </w:p>
        </w:tc>
        <w:tc>
          <w:tcPr>
            <w:tcW w:type="dxa" w:w="4038"/>
            <w:tcMar>
              <w:top w:type="dxa" w:w="50"/>
              <w:left w:type="dxa" w:w="90"/>
              <w:bottom w:type="dxa" w:w="50"/>
              <w:right w:type="dxa" w:w="90"/>
            </w:tcMar>
            <w:vAlign w:val="center"/>
          </w:tcPr>
          <w:p>
            <w:pPr>
              <w:spacing w:after="0" w:line="240"/>
            </w:pPr>
            <w:r>
              <w:rPr>
                <w:sz w:val="18"/>
                <w:szCs w:val="18"/>
              </w:rPr>
              <w:t xml:space="preserve">Imports, P/L, KPI, scoring, backtests, rapprochements.</w:t>
            </w:r>
          </w:p>
        </w:tc>
      </w:tr>
      <w:tr>
        <w:tc>
          <w:tcPr>
            <w:tcW w:type="dxa" w:w="1500"/>
            <w:shd w:fill="F7F9FC" w:val="clear"/>
            <w:tcMar>
              <w:top w:type="dxa" w:w="50"/>
              <w:left w:type="dxa" w:w="90"/>
              <w:bottom w:type="dxa" w:w="50"/>
              <w:right w:type="dxa" w:w="90"/>
            </w:tcMar>
            <w:vAlign w:val="center"/>
          </w:tcPr>
          <w:p>
            <w:pPr>
              <w:spacing w:after="0" w:line="240"/>
            </w:pPr>
            <w:r>
              <w:rPr>
                <w:sz w:val="18"/>
                <w:szCs w:val="18"/>
              </w:rPr>
              <w:t xml:space="preserve">Persistance</w:t>
            </w:r>
          </w:p>
        </w:tc>
        <w:tc>
          <w:tcPr>
            <w:tcW w:type="dxa" w:w="4100"/>
            <w:shd w:fill="F7F9FC" w:val="clear"/>
            <w:tcMar>
              <w:top w:type="dxa" w:w="50"/>
              <w:left w:type="dxa" w:w="90"/>
              <w:bottom w:type="dxa" w:w="50"/>
              <w:right w:type="dxa" w:w="90"/>
            </w:tcMar>
            <w:vAlign w:val="center"/>
          </w:tcPr>
          <w:p>
            <w:pPr>
              <w:spacing w:after="0" w:line="240"/>
            </w:pPr>
            <w:r>
              <w:rPr>
                <w:sz w:val="18"/>
                <w:szCs w:val="18"/>
              </w:rPr>
              <w:t xml:space="preserve">PostgreSQL 16 + SQLAlchemy 2 + Alembic ; TimescaleDB optionnel</w:t>
            </w:r>
          </w:p>
        </w:tc>
        <w:tc>
          <w:tcPr>
            <w:tcW w:type="dxa" w:w="4038"/>
            <w:shd w:fill="F7F9FC" w:val="clear"/>
            <w:tcMar>
              <w:top w:type="dxa" w:w="50"/>
              <w:left w:type="dxa" w:w="90"/>
              <w:bottom w:type="dxa" w:w="50"/>
              <w:right w:type="dxa" w:w="90"/>
            </w:tcMar>
            <w:vAlign w:val="center"/>
          </w:tcPr>
          <w:p>
            <w:pPr>
              <w:spacing w:after="0" w:line="240"/>
            </w:pPr>
            <w:r>
              <w:rPr>
                <w:sz w:val="18"/>
                <w:szCs w:val="18"/>
              </w:rPr>
              <w:t xml:space="preserve">Historique transactionnel, quotes, snapshots, audit, versioning.</w:t>
            </w:r>
          </w:p>
        </w:tc>
      </w:tr>
      <w:tr>
        <w:tc>
          <w:tcPr>
            <w:tcW w:type="dxa" w:w="1500"/>
            <w:tcMar>
              <w:top w:type="dxa" w:w="50"/>
              <w:left w:type="dxa" w:w="90"/>
              <w:bottom w:type="dxa" w:w="50"/>
              <w:right w:type="dxa" w:w="90"/>
            </w:tcMar>
            <w:vAlign w:val="center"/>
          </w:tcPr>
          <w:p>
            <w:pPr>
              <w:spacing w:after="0" w:line="240"/>
            </w:pPr>
            <w:r>
              <w:rPr>
                <w:sz w:val="18"/>
                <w:szCs w:val="18"/>
              </w:rPr>
              <w:t xml:space="preserve">Qualité</w:t>
            </w:r>
          </w:p>
        </w:tc>
        <w:tc>
          <w:tcPr>
            <w:tcW w:type="dxa" w:w="4100"/>
            <w:tcMar>
              <w:top w:type="dxa" w:w="50"/>
              <w:left w:type="dxa" w:w="90"/>
              <w:bottom w:type="dxa" w:w="50"/>
              <w:right w:type="dxa" w:w="90"/>
            </w:tcMar>
            <w:vAlign w:val="center"/>
          </w:tcPr>
          <w:p>
            <w:pPr>
              <w:spacing w:after="0" w:line="240"/>
            </w:pPr>
            <w:r>
              <w:rPr>
                <w:sz w:val="18"/>
                <w:szCs w:val="18"/>
              </w:rPr>
              <w:t xml:space="preserve">pytest + hypothesis, coverage ; ruff + mypy (strict sur app/) ; eslint + prettier</w:t>
            </w:r>
          </w:p>
        </w:tc>
        <w:tc>
          <w:tcPr>
            <w:tcW w:type="dxa" w:w="4038"/>
            <w:tcMar>
              <w:top w:type="dxa" w:w="50"/>
              <w:left w:type="dxa" w:w="90"/>
              <w:bottom w:type="dxa" w:w="50"/>
              <w:right w:type="dxa" w:w="90"/>
            </w:tcMar>
            <w:vAlign w:val="center"/>
          </w:tcPr>
          <w:p>
            <w:pPr>
              <w:spacing w:after="0" w:line="240"/>
            </w:pPr>
            <w:r>
              <w:rPr>
                <w:sz w:val="18"/>
                <w:szCs w:val="18"/>
              </w:rPr>
              <w:t xml:space="preserve">Tests d’abord, lint et typage bloquants (make test / make lint).</w:t>
            </w:r>
          </w:p>
        </w:tc>
      </w:tr>
      <w:tr>
        <w:tc>
          <w:tcPr>
            <w:tcW w:type="dxa" w:w="1500"/>
            <w:shd w:fill="F7F9FC" w:val="clear"/>
            <w:tcMar>
              <w:top w:type="dxa" w:w="50"/>
              <w:left w:type="dxa" w:w="90"/>
              <w:bottom w:type="dxa" w:w="50"/>
              <w:right w:type="dxa" w:w="90"/>
            </w:tcMar>
            <w:vAlign w:val="center"/>
          </w:tcPr>
          <w:p>
            <w:pPr>
              <w:spacing w:after="0" w:line="240"/>
            </w:pPr>
            <w:r>
              <w:rPr>
                <w:sz w:val="18"/>
                <w:szCs w:val="18"/>
              </w:rPr>
              <w:t xml:space="preserve">Jobs</w:t>
            </w:r>
          </w:p>
        </w:tc>
        <w:tc>
          <w:tcPr>
            <w:tcW w:type="dxa" w:w="4100"/>
            <w:shd w:fill="F7F9FC" w:val="clear"/>
            <w:tcMar>
              <w:top w:type="dxa" w:w="50"/>
              <w:left w:type="dxa" w:w="90"/>
              <w:bottom w:type="dxa" w:w="50"/>
              <w:right w:type="dxa" w:w="90"/>
            </w:tcMar>
            <w:vAlign w:val="center"/>
          </w:tcPr>
          <w:p>
            <w:pPr>
              <w:spacing w:after="0" w:line="240"/>
            </w:pPr>
            <w:r>
              <w:rPr>
                <w:sz w:val="18"/>
                <w:szCs w:val="18"/>
              </w:rPr>
              <w:t xml:space="preserve">Phase 1 : actions déclenchées depuis l’interface. Phase 2 : n8n</w:t>
            </w:r>
          </w:p>
        </w:tc>
        <w:tc>
          <w:tcPr>
            <w:tcW w:type="dxa" w:w="4038"/>
            <w:shd w:fill="F7F9FC" w:val="clear"/>
            <w:tcMar>
              <w:top w:type="dxa" w:w="50"/>
              <w:left w:type="dxa" w:w="90"/>
              <w:bottom w:type="dxa" w:w="50"/>
              <w:right w:type="dxa" w:w="90"/>
            </w:tcMar>
            <w:vAlign w:val="center"/>
          </w:tcPr>
          <w:p>
            <w:pPr>
              <w:spacing w:after="0" w:line="240"/>
            </w:pPr>
            <w:r>
              <w:rPr>
                <w:sz w:val="18"/>
                <w:szCs w:val="18"/>
              </w:rPr>
              <w:t xml:space="preserve">Phase 1 : imports, recalculs, rapports manuels. Phase 2 : orchestration planifiée, reprises, notifications.</w:t>
            </w:r>
          </w:p>
        </w:tc>
      </w:tr>
      <w:tr>
        <w:tc>
          <w:tcPr>
            <w:tcW w:type="dxa" w:w="1500"/>
            <w:tcMar>
              <w:top w:type="dxa" w:w="50"/>
              <w:left w:type="dxa" w:w="90"/>
              <w:bottom w:type="dxa" w:w="50"/>
              <w:right w:type="dxa" w:w="90"/>
            </w:tcMar>
            <w:vAlign w:val="center"/>
          </w:tcPr>
          <w:p>
            <w:pPr>
              <w:spacing w:after="0" w:line="240"/>
            </w:pPr>
            <w:r>
              <w:rPr>
                <w:sz w:val="18"/>
                <w:szCs w:val="18"/>
              </w:rPr>
              <w:t xml:space="preserve">Documents</w:t>
            </w:r>
          </w:p>
        </w:tc>
        <w:tc>
          <w:tcPr>
            <w:tcW w:type="dxa" w:w="4100"/>
            <w:tcMar>
              <w:top w:type="dxa" w:w="50"/>
              <w:left w:type="dxa" w:w="90"/>
              <w:bottom w:type="dxa" w:w="50"/>
              <w:right w:type="dxa" w:w="90"/>
            </w:tcMar>
            <w:vAlign w:val="center"/>
          </w:tcPr>
          <w:p>
            <w:pPr>
              <w:spacing w:after="0" w:line="240"/>
            </w:pPr>
            <w:r>
              <w:rPr>
                <w:sz w:val="18"/>
                <w:szCs w:val="18"/>
              </w:rPr>
              <w:t xml:space="preserve">Arborescence locale data/ + index de métadonnées</w:t>
            </w:r>
          </w:p>
        </w:tc>
        <w:tc>
          <w:tcPr>
            <w:tcW w:type="dxa" w:w="4038"/>
            <w:tcMar>
              <w:top w:type="dxa" w:w="50"/>
              <w:left w:type="dxa" w:w="90"/>
              <w:bottom w:type="dxa" w:w="50"/>
              <w:right w:type="dxa" w:w="90"/>
            </w:tcMar>
            <w:vAlign w:val="center"/>
          </w:tcPr>
          <w:p>
            <w:pPr>
              <w:spacing w:after="0" w:line="240"/>
            </w:pPr>
            <w:r>
              <w:rPr>
                <w:sz w:val="18"/>
                <w:szCs w:val="18"/>
              </w:rPr>
              <w:t xml:space="preserve">Fichiers bruts immuables, rapports, exports, sauvegardes.</w:t>
            </w:r>
          </w:p>
        </w:tc>
      </w:tr>
      <w:tr>
        <w:tc>
          <w:tcPr>
            <w:tcW w:type="dxa" w:w="1500"/>
            <w:shd w:fill="F7F9FC" w:val="clear"/>
            <w:tcMar>
              <w:top w:type="dxa" w:w="50"/>
              <w:left w:type="dxa" w:w="90"/>
              <w:bottom w:type="dxa" w:w="50"/>
              <w:right w:type="dxa" w:w="90"/>
            </w:tcMar>
            <w:vAlign w:val="center"/>
          </w:tcPr>
          <w:p>
            <w:pPr>
              <w:spacing w:after="0" w:line="240"/>
            </w:pPr>
            <w:r>
              <w:rPr>
                <w:sz w:val="18"/>
                <w:szCs w:val="18"/>
              </w:rPr>
              <w:t xml:space="preserve">IA optionnelle</w:t>
            </w:r>
          </w:p>
        </w:tc>
        <w:tc>
          <w:tcPr>
            <w:tcW w:type="dxa" w:w="4100"/>
            <w:shd w:fill="F7F9FC" w:val="clear"/>
            <w:tcMar>
              <w:top w:type="dxa" w:w="50"/>
              <w:left w:type="dxa" w:w="90"/>
              <w:bottom w:type="dxa" w:w="50"/>
              <w:right w:type="dxa" w:w="90"/>
            </w:tcMar>
            <w:vAlign w:val="center"/>
          </w:tcPr>
          <w:p>
            <w:pPr>
              <w:spacing w:after="0" w:line="240"/>
            </w:pPr>
            <w:r>
              <w:rPr>
                <w:sz w:val="18"/>
                <w:szCs w:val="18"/>
              </w:rPr>
              <w:t xml:space="preserve">Aucune dans le MVP ; adaptateur ultérieur (Ollama local ou API activée explicitement)</w:t>
            </w:r>
          </w:p>
        </w:tc>
        <w:tc>
          <w:tcPr>
            <w:tcW w:type="dxa" w:w="4038"/>
            <w:shd w:fill="F7F9FC" w:val="clear"/>
            <w:tcMar>
              <w:top w:type="dxa" w:w="50"/>
              <w:left w:type="dxa" w:w="90"/>
              <w:bottom w:type="dxa" w:w="50"/>
              <w:right w:type="dxa" w:w="90"/>
            </w:tcMar>
            <w:vAlign w:val="center"/>
          </w:tcPr>
          <w:p>
            <w:pPr>
              <w:spacing w:after="0" w:line="240"/>
            </w:pPr>
            <w:r>
              <w:rPr>
                <w:sz w:val="18"/>
                <w:szCs w:val="18"/>
              </w:rPr>
              <w:t xml:space="preserve">Extraction/synthèse documentaire uniquement ; jamais un calcul financier.</w:t>
            </w:r>
          </w:p>
        </w:tc>
      </w:tr>
      <w:tr>
        <w:tc>
          <w:tcPr>
            <w:tcW w:type="dxa" w:w="1500"/>
            <w:tcMar>
              <w:top w:type="dxa" w:w="50"/>
              <w:left w:type="dxa" w:w="90"/>
              <w:bottom w:type="dxa" w:w="50"/>
              <w:right w:type="dxa" w:w="90"/>
            </w:tcMar>
            <w:vAlign w:val="center"/>
          </w:tcPr>
          <w:p>
            <w:pPr>
              <w:spacing w:after="0" w:line="240"/>
            </w:pPr>
            <w:r>
              <w:rPr>
                <w:sz w:val="18"/>
                <w:szCs w:val="18"/>
              </w:rPr>
              <w:t xml:space="preserve">Déploiement</w:t>
            </w:r>
          </w:p>
        </w:tc>
        <w:tc>
          <w:tcPr>
            <w:tcW w:type="dxa" w:w="4100"/>
            <w:tcMar>
              <w:top w:type="dxa" w:w="50"/>
              <w:left w:type="dxa" w:w="90"/>
              <w:bottom w:type="dxa" w:w="50"/>
              <w:right w:type="dxa" w:w="90"/>
            </w:tcMar>
            <w:vAlign w:val="center"/>
          </w:tcPr>
          <w:p>
            <w:pPr>
              <w:spacing w:after="0" w:line="240"/>
            </w:pPr>
            <w:r>
              <w:rPr>
                <w:sz w:val="18"/>
                <w:szCs w:val="18"/>
              </w:rPr>
              <w:t xml:space="preserve">Docker Compose</w:t>
            </w:r>
          </w:p>
        </w:tc>
        <w:tc>
          <w:tcPr>
            <w:tcW w:type="dxa" w:w="4038"/>
            <w:tcMar>
              <w:top w:type="dxa" w:w="50"/>
              <w:left w:type="dxa" w:w="90"/>
              <w:bottom w:type="dxa" w:w="50"/>
              <w:right w:type="dxa" w:w="90"/>
            </w:tcMar>
            <w:vAlign w:val="center"/>
          </w:tcPr>
          <w:p>
            <w:pPr>
              <w:spacing w:after="0" w:line="240"/>
            </w:pPr>
            <w:r>
              <w:rPr>
                <w:sz w:val="18"/>
                <w:szCs w:val="18"/>
              </w:rPr>
              <w:t xml:space="preserve">Installation reproductible, isolation, sauvegarde.</w:t>
            </w:r>
          </w:p>
        </w:tc>
      </w:tr>
    </w:tbl>
    <w:p>
      <w:pPr>
        <w:pStyle w:val="Heading2"/>
        <w:spacing w:after="120" w:before="240"/>
      </w:pPr>
      <w:r>
        <w:t xml:space="preserve">10.2 Flux de traitement</w:t>
      </w:r>
    </w:p>
    <w:p>
      <w:pPr>
        <w:keepLines/>
        <w:shd w:fill="F5F5F5" w:val="clear"/>
        <w:spacing w:after="0" w:line="240"/>
        <w:ind w:left="160" w:right="160"/>
      </w:pPr>
      <w:r>
        <w:rPr>
          <w:rFonts w:ascii="Consolas" w:cs="Consolas" w:eastAsia="Consolas" w:hAnsi="Consolas"/>
          <w:sz w:val="17"/>
          <w:szCs w:val="17"/>
        </w:rPr>
        <w:t xml:space="preserve">Fichiers / saisie / (APIs en phase 2)</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ImportBatch → validation → normalisation → rapprochement</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Transactions + Quotes + Events + Sources</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Positions / Scénarios / Recommandations / Alertes</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KPI / Post-mortem / Proposition de stratégie</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120" w:line="240"/>
        <w:ind w:left="160" w:right="160"/>
      </w:pPr>
      <w:r>
        <w:rPr>
          <w:rFonts w:ascii="Consolas" w:cs="Consolas" w:eastAsia="Consolas" w:hAnsi="Consolas"/>
          <w:sz w:val="17"/>
          <w:szCs w:val="17"/>
        </w:rPr>
        <w:t xml:space="preserve">Validation humaine → nouvelle StrategyVersion</w:t>
      </w:r>
    </w:p>
    <w:p>
      <w:pPr>
        <w:pStyle w:val="Heading2"/>
        <w:spacing w:after="120" w:before="240"/>
      </w:pPr>
      <w:r>
        <w:t xml:space="preserve">10.3 API interne (contrat gelé après stabilisation)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rPr>
          <w:tblHeader/>
        </w:trPr>
        <w:tc>
          <w:tcPr>
            <w:tcW w:type="dxa" w:w="3300"/>
            <w:shd w:fill="1F3864" w:val="clear"/>
            <w:tcMar>
              <w:top w:type="dxa" w:w="50"/>
              <w:left w:type="dxa" w:w="90"/>
              <w:bottom w:type="dxa" w:w="50"/>
              <w:right w:type="dxa" w:w="90"/>
            </w:tcMar>
            <w:vAlign w:val="center"/>
          </w:tcPr>
          <w:p>
            <w:pPr>
              <w:spacing w:after="0" w:line="240"/>
            </w:pPr>
            <w:r>
              <w:rPr>
                <w:b/>
                <w:bCs/>
                <w:color w:val="FFFFFF"/>
                <w:sz w:val="18"/>
                <w:szCs w:val="18"/>
              </w:rPr>
              <w:t xml:space="preserve">Endpoint</w:t>
            </w:r>
          </w:p>
        </w:tc>
        <w:tc>
          <w:tcPr>
            <w:tcW w:type="dxa" w:w="6338"/>
            <w:shd w:fill="1F3864" w:val="clear"/>
            <w:tcMar>
              <w:top w:type="dxa" w:w="50"/>
              <w:left w:type="dxa" w:w="90"/>
              <w:bottom w:type="dxa" w:w="50"/>
              <w:right w:type="dxa" w:w="90"/>
            </w:tcMar>
            <w:vAlign w:val="center"/>
          </w:tcPr>
          <w:p>
            <w:pPr>
              <w:spacing w:after="0" w:line="240"/>
            </w:pPr>
            <w:r>
              <w:rPr>
                <w:b/>
                <w:bCs/>
                <w:color w:val="FFFFFF"/>
                <w:sz w:val="18"/>
                <w:szCs w:val="18"/>
              </w:rPr>
              <w:t xml:space="preserve">Usage</w:t>
            </w:r>
          </w:p>
        </w:tc>
      </w:tr>
      <w:tr>
        <w:tc>
          <w:tcPr>
            <w:tcW w:type="dxa" w:w="3300"/>
            <w:tcMar>
              <w:top w:type="dxa" w:w="50"/>
              <w:left w:type="dxa" w:w="90"/>
              <w:bottom w:type="dxa" w:w="50"/>
              <w:right w:type="dxa" w:w="90"/>
            </w:tcMar>
            <w:vAlign w:val="center"/>
          </w:tcPr>
          <w:p>
            <w:pPr>
              <w:spacing w:after="0" w:line="240"/>
            </w:pPr>
            <w:r>
              <w:rPr>
                <w:sz w:val="18"/>
                <w:szCs w:val="18"/>
              </w:rPr>
              <w:t xml:space="preserve">POST /api/v1/imports</w:t>
            </w:r>
          </w:p>
        </w:tc>
        <w:tc>
          <w:tcPr>
            <w:tcW w:type="dxa" w:w="6338"/>
            <w:tcMar>
              <w:top w:type="dxa" w:w="50"/>
              <w:left w:type="dxa" w:w="90"/>
              <w:bottom w:type="dxa" w:w="50"/>
              <w:right w:type="dxa" w:w="90"/>
            </w:tcMar>
            <w:vAlign w:val="center"/>
          </w:tcPr>
          <w:p>
            <w:pPr>
              <w:spacing w:after="0" w:line="240"/>
            </w:pPr>
            <w:r>
              <w:rPr>
                <w:sz w:val="18"/>
                <w:szCs w:val="18"/>
              </w:rPr>
              <w:t xml:space="preserve">Déposer un fichier et lancer le mapping (idempotent par hash).</w:t>
            </w:r>
          </w:p>
        </w:tc>
      </w:tr>
      <w:tr>
        <w:tc>
          <w:tcPr>
            <w:tcW w:type="dxa" w:w="3300"/>
            <w:shd w:fill="F7F9FC" w:val="clear"/>
            <w:tcMar>
              <w:top w:type="dxa" w:w="50"/>
              <w:left w:type="dxa" w:w="90"/>
              <w:bottom w:type="dxa" w:w="50"/>
              <w:right w:type="dxa" w:w="90"/>
            </w:tcMar>
            <w:vAlign w:val="center"/>
          </w:tcPr>
          <w:p>
            <w:pPr>
              <w:spacing w:after="0" w:line="240"/>
            </w:pPr>
            <w:r>
              <w:rPr>
                <w:sz w:val="18"/>
                <w:szCs w:val="18"/>
              </w:rPr>
              <w:t xml:space="preserve">GET /api/v1/portfolio</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Vue consolidée à une date donnée.</w:t>
            </w:r>
          </w:p>
        </w:tc>
      </w:tr>
      <w:tr>
        <w:tc>
          <w:tcPr>
            <w:tcW w:type="dxa" w:w="3300"/>
            <w:tcMar>
              <w:top w:type="dxa" w:w="50"/>
              <w:left w:type="dxa" w:w="90"/>
              <w:bottom w:type="dxa" w:w="50"/>
              <w:right w:type="dxa" w:w="90"/>
            </w:tcMar>
            <w:vAlign w:val="center"/>
          </w:tcPr>
          <w:p>
            <w:pPr>
              <w:spacing w:after="0" w:line="240"/>
            </w:pPr>
            <w:r>
              <w:rPr>
                <w:sz w:val="18"/>
                <w:szCs w:val="18"/>
              </w:rPr>
              <w:t xml:space="preserve">GET /api/v1/positions/{id}</w:t>
            </w:r>
          </w:p>
        </w:tc>
        <w:tc>
          <w:tcPr>
            <w:tcW w:type="dxa" w:w="6338"/>
            <w:tcMar>
              <w:top w:type="dxa" w:w="50"/>
              <w:left w:type="dxa" w:w="90"/>
              <w:bottom w:type="dxa" w:w="50"/>
              <w:right w:type="dxa" w:w="90"/>
            </w:tcMar>
            <w:vAlign w:val="center"/>
          </w:tcPr>
          <w:p>
            <w:pPr>
              <w:spacing w:after="0" w:line="240"/>
            </w:pPr>
            <w:r>
              <w:rPr>
                <w:sz w:val="18"/>
                <w:szCs w:val="18"/>
              </w:rPr>
              <w:t xml:space="preserve">Détail, lots, stops, scénarios, sources.</w:t>
            </w:r>
          </w:p>
        </w:tc>
      </w:tr>
      <w:tr>
        <w:tc>
          <w:tcPr>
            <w:tcW w:type="dxa" w:w="3300"/>
            <w:shd w:fill="F7F9FC" w:val="clear"/>
            <w:tcMar>
              <w:top w:type="dxa" w:w="50"/>
              <w:left w:type="dxa" w:w="90"/>
              <w:bottom w:type="dxa" w:w="50"/>
              <w:right w:type="dxa" w:w="90"/>
            </w:tcMar>
            <w:vAlign w:val="center"/>
          </w:tcPr>
          <w:p>
            <w:pPr>
              <w:spacing w:after="0" w:line="240"/>
            </w:pPr>
            <w:r>
              <w:rPr>
                <w:sz w:val="18"/>
                <w:szCs w:val="18"/>
              </w:rPr>
              <w:t xml:space="preserve">POST /api/v1/recommendations</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Publier une recommandation versionnée (immuable).</w:t>
            </w:r>
          </w:p>
        </w:tc>
      </w:tr>
      <w:tr>
        <w:tc>
          <w:tcPr>
            <w:tcW w:type="dxa" w:w="3300"/>
            <w:tcMar>
              <w:top w:type="dxa" w:w="50"/>
              <w:left w:type="dxa" w:w="90"/>
              <w:bottom w:type="dxa" w:w="50"/>
              <w:right w:type="dxa" w:w="90"/>
            </w:tcMar>
            <w:vAlign w:val="center"/>
          </w:tcPr>
          <w:p>
            <w:pPr>
              <w:spacing w:after="0" w:line="240"/>
            </w:pPr>
            <w:r>
              <w:rPr>
                <w:sz w:val="18"/>
                <w:szCs w:val="18"/>
              </w:rPr>
              <w:t xml:space="preserve">POST /api/v1/scenarios</w:t>
            </w:r>
          </w:p>
        </w:tc>
        <w:tc>
          <w:tcPr>
            <w:tcW w:type="dxa" w:w="6338"/>
            <w:tcMar>
              <w:top w:type="dxa" w:w="50"/>
              <w:left w:type="dxa" w:w="90"/>
              <w:bottom w:type="dxa" w:w="50"/>
              <w:right w:type="dxa" w:w="90"/>
            </w:tcMar>
            <w:vAlign w:val="center"/>
          </w:tcPr>
          <w:p>
            <w:pPr>
              <w:spacing w:after="0" w:line="240"/>
            </w:pPr>
            <w:r>
              <w:rPr>
                <w:sz w:val="18"/>
                <w:szCs w:val="18"/>
              </w:rPr>
              <w:t xml:space="preserve">Créer un scénario ; calcul taille/risque/heat.</w:t>
            </w:r>
          </w:p>
        </w:tc>
      </w:tr>
      <w:tr>
        <w:tc>
          <w:tcPr>
            <w:tcW w:type="dxa" w:w="3300"/>
            <w:shd w:fill="F7F9FC" w:val="clear"/>
            <w:tcMar>
              <w:top w:type="dxa" w:w="50"/>
              <w:left w:type="dxa" w:w="90"/>
              <w:bottom w:type="dxa" w:w="50"/>
              <w:right w:type="dxa" w:w="90"/>
            </w:tcMar>
            <w:vAlign w:val="center"/>
          </w:tcPr>
          <w:p>
            <w:pPr>
              <w:spacing w:after="0" w:line="240"/>
            </w:pPr>
            <w:r>
              <w:rPr>
                <w:sz w:val="18"/>
                <w:szCs w:val="18"/>
              </w:rPr>
              <w:t xml:space="preserve">POST /api/v1/orders</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Enregistrer un ordre manuel — jamais de transmission au courtier.</w:t>
            </w:r>
          </w:p>
        </w:tc>
      </w:tr>
      <w:tr>
        <w:tc>
          <w:tcPr>
            <w:tcW w:type="dxa" w:w="3300"/>
            <w:tcMar>
              <w:top w:type="dxa" w:w="50"/>
              <w:left w:type="dxa" w:w="90"/>
              <w:bottom w:type="dxa" w:w="50"/>
              <w:right w:type="dxa" w:w="90"/>
            </w:tcMar>
            <w:vAlign w:val="center"/>
          </w:tcPr>
          <w:p>
            <w:pPr>
              <w:spacing w:after="0" w:line="240"/>
            </w:pPr>
            <w:r>
              <w:rPr>
                <w:sz w:val="18"/>
                <w:szCs w:val="18"/>
              </w:rPr>
              <w:t xml:space="preserve">GET /api/v1/markets</w:t>
            </w:r>
          </w:p>
        </w:tc>
        <w:tc>
          <w:tcPr>
            <w:tcW w:type="dxa" w:w="6338"/>
            <w:tcMar>
              <w:top w:type="dxa" w:w="50"/>
              <w:left w:type="dxa" w:w="90"/>
              <w:bottom w:type="dxa" w:w="50"/>
              <w:right w:type="dxa" w:w="90"/>
            </w:tcMar>
            <w:vAlign w:val="center"/>
          </w:tcPr>
          <w:p>
            <w:pPr>
              <w:spacing w:after="0" w:line="240"/>
            </w:pPr>
            <w:r>
              <w:rPr>
                <w:sz w:val="18"/>
                <w:szCs w:val="18"/>
              </w:rPr>
              <w:t xml:space="preserve">Places, sessions, jours fériés, statut ouvert/fermé à l’instant T.</w:t>
            </w:r>
          </w:p>
        </w:tc>
      </w:tr>
      <w:tr>
        <w:tc>
          <w:tcPr>
            <w:tcW w:type="dxa" w:w="3300"/>
            <w:shd w:fill="F7F9FC" w:val="clear"/>
            <w:tcMar>
              <w:top w:type="dxa" w:w="50"/>
              <w:left w:type="dxa" w:w="90"/>
              <w:bottom w:type="dxa" w:w="50"/>
              <w:right w:type="dxa" w:w="90"/>
            </w:tcMar>
            <w:vAlign w:val="center"/>
          </w:tcPr>
          <w:p>
            <w:pPr>
              <w:spacing w:after="0" w:line="240"/>
            </w:pPr>
            <w:r>
              <w:rPr>
                <w:sz w:val="18"/>
                <w:szCs w:val="18"/>
              </w:rPr>
              <w:t xml:space="preserve">GET /api/v1/fx</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Taux historisés, exposition et stress par devise.</w:t>
            </w:r>
          </w:p>
        </w:tc>
      </w:tr>
      <w:tr>
        <w:tc>
          <w:tcPr>
            <w:tcW w:type="dxa" w:w="3300"/>
            <w:tcMar>
              <w:top w:type="dxa" w:w="50"/>
              <w:left w:type="dxa" w:w="90"/>
              <w:bottom w:type="dxa" w:w="50"/>
              <w:right w:type="dxa" w:w="90"/>
            </w:tcMar>
            <w:vAlign w:val="center"/>
          </w:tcPr>
          <w:p>
            <w:pPr>
              <w:spacing w:after="0" w:line="240"/>
            </w:pPr>
            <w:r>
              <w:rPr>
                <w:sz w:val="18"/>
                <w:szCs w:val="18"/>
              </w:rPr>
              <w:t xml:space="preserve">GET /api/v1/kpis</w:t>
            </w:r>
          </w:p>
        </w:tc>
        <w:tc>
          <w:tcPr>
            <w:tcW w:type="dxa" w:w="6338"/>
            <w:tcMar>
              <w:top w:type="dxa" w:w="50"/>
              <w:left w:type="dxa" w:w="90"/>
              <w:bottom w:type="dxa" w:w="50"/>
              <w:right w:type="dxa" w:w="90"/>
            </w:tcMar>
            <w:vAlign w:val="center"/>
          </w:tcPr>
          <w:p>
            <w:pPr>
              <w:spacing w:after="0" w:line="240"/>
            </w:pPr>
            <w:r>
              <w:rPr>
                <w:sz w:val="18"/>
                <w:szCs w:val="18"/>
              </w:rPr>
              <w:t xml:space="preserve">KPI selon filtres et période.</w:t>
            </w:r>
          </w:p>
        </w:tc>
      </w:tr>
      <w:tr>
        <w:tc>
          <w:tcPr>
            <w:tcW w:type="dxa" w:w="3300"/>
            <w:shd w:fill="F7F9FC" w:val="clear"/>
            <w:tcMar>
              <w:top w:type="dxa" w:w="50"/>
              <w:left w:type="dxa" w:w="90"/>
              <w:bottom w:type="dxa" w:w="50"/>
              <w:right w:type="dxa" w:w="90"/>
            </w:tcMar>
            <w:vAlign w:val="center"/>
          </w:tcPr>
          <w:p>
            <w:pPr>
              <w:spacing w:after="0" w:line="240"/>
            </w:pPr>
            <w:r>
              <w:rPr>
                <w:sz w:val="18"/>
                <w:szCs w:val="18"/>
              </w:rPr>
              <w:t xml:space="preserve">POST /api/v1/reviews</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Post-mortem et proposition de règle.</w:t>
            </w:r>
          </w:p>
        </w:tc>
      </w:tr>
      <w:tr>
        <w:tc>
          <w:tcPr>
            <w:tcW w:type="dxa" w:w="3300"/>
            <w:tcMar>
              <w:top w:type="dxa" w:w="50"/>
              <w:left w:type="dxa" w:w="90"/>
              <w:bottom w:type="dxa" w:w="50"/>
              <w:right w:type="dxa" w:w="90"/>
            </w:tcMar>
            <w:vAlign w:val="center"/>
          </w:tcPr>
          <w:p>
            <w:pPr>
              <w:spacing w:after="0" w:line="240"/>
            </w:pPr>
            <w:r>
              <w:rPr>
                <w:sz w:val="18"/>
                <w:szCs w:val="18"/>
              </w:rPr>
              <w:t xml:space="preserve">GET /api/v1/alerts</w:t>
            </w:r>
          </w:p>
        </w:tc>
        <w:tc>
          <w:tcPr>
            <w:tcW w:type="dxa" w:w="6338"/>
            <w:tcMar>
              <w:top w:type="dxa" w:w="50"/>
              <w:left w:type="dxa" w:w="90"/>
              <w:bottom w:type="dxa" w:w="50"/>
              <w:right w:type="dxa" w:w="90"/>
            </w:tcMar>
            <w:vAlign w:val="center"/>
          </w:tcPr>
          <w:p>
            <w:pPr>
              <w:spacing w:after="0" w:line="240"/>
            </w:pPr>
            <w:r>
              <w:rPr>
                <w:sz w:val="18"/>
                <w:szCs w:val="18"/>
              </w:rPr>
              <w:t xml:space="preserve">Alertes ouvertes et résolues.</w:t>
            </w:r>
          </w:p>
        </w:tc>
      </w:tr>
      <w:tr>
        <w:tc>
          <w:tcPr>
            <w:tcW w:type="dxa" w:w="3300"/>
            <w:shd w:fill="F7F9FC" w:val="clear"/>
            <w:tcMar>
              <w:top w:type="dxa" w:w="50"/>
              <w:left w:type="dxa" w:w="90"/>
              <w:bottom w:type="dxa" w:w="50"/>
              <w:right w:type="dxa" w:w="90"/>
            </w:tcMar>
            <w:vAlign w:val="center"/>
          </w:tcPr>
          <w:p>
            <w:pPr>
              <w:spacing w:after="0" w:line="240"/>
            </w:pPr>
            <w:r>
              <w:rPr>
                <w:sz w:val="18"/>
                <w:szCs w:val="18"/>
              </w:rPr>
              <w:t xml:space="preserve">POST /api/v1/backups</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Sauvegarde locale chiffrée.</w:t>
            </w:r>
          </w:p>
        </w:tc>
      </w:tr>
      <w:tr>
        <w:tc>
          <w:tcPr>
            <w:tcW w:type="dxa" w:w="3300"/>
            <w:tcMar>
              <w:top w:type="dxa" w:w="50"/>
              <w:left w:type="dxa" w:w="90"/>
              <w:bottom w:type="dxa" w:w="50"/>
              <w:right w:type="dxa" w:w="90"/>
            </w:tcMar>
            <w:vAlign w:val="center"/>
          </w:tcPr>
          <w:p>
            <w:pPr>
              <w:spacing w:after="0" w:line="240"/>
            </w:pPr>
            <w:r>
              <w:rPr>
                <w:sz w:val="18"/>
                <w:szCs w:val="18"/>
              </w:rPr>
              <w:t xml:space="preserve">POST /api/v1/market-data/jobs</w:t>
            </w:r>
          </w:p>
        </w:tc>
        <w:tc>
          <w:tcPr>
            <w:tcW w:type="dxa" w:w="6338"/>
            <w:tcMar>
              <w:top w:type="dxa" w:w="50"/>
              <w:left w:type="dxa" w:w="90"/>
              <w:bottom w:type="dxa" w:w="50"/>
              <w:right w:type="dxa" w:w="90"/>
            </w:tcMar>
            <w:vAlign w:val="center"/>
          </w:tcPr>
          <w:p>
            <w:pPr>
              <w:spacing w:after="0" w:line="240"/>
            </w:pPr>
            <w:r>
              <w:rPr>
                <w:sz w:val="18"/>
                <w:szCs w:val="18"/>
              </w:rPr>
              <w:t xml:space="preserve">Phase 2 : récupération planifiée des cotations.</w:t>
            </w:r>
          </w:p>
        </w:tc>
      </w:tr>
      <w:tr>
        <w:tc>
          <w:tcPr>
            <w:tcW w:type="dxa" w:w="3300"/>
            <w:shd w:fill="F7F9FC" w:val="clear"/>
            <w:tcMar>
              <w:top w:type="dxa" w:w="50"/>
              <w:left w:type="dxa" w:w="90"/>
              <w:bottom w:type="dxa" w:w="50"/>
              <w:right w:type="dxa" w:w="90"/>
            </w:tcMar>
            <w:vAlign w:val="center"/>
          </w:tcPr>
          <w:p>
            <w:pPr>
              <w:spacing w:after="0" w:line="240"/>
            </w:pPr>
            <w:r>
              <w:rPr>
                <w:sz w:val="18"/>
                <w:szCs w:val="18"/>
              </w:rPr>
              <w:t xml:space="preserve">POST /api/v1/calendar/refresh</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Phase 2 : rafraîchissement du calendrier de risques.</w:t>
            </w:r>
          </w:p>
        </w:tc>
      </w:tr>
      <w:tr>
        <w:tc>
          <w:tcPr>
            <w:tcW w:type="dxa" w:w="3300"/>
            <w:tcMar>
              <w:top w:type="dxa" w:w="50"/>
              <w:left w:type="dxa" w:w="90"/>
              <w:bottom w:type="dxa" w:w="50"/>
              <w:right w:type="dxa" w:w="90"/>
            </w:tcMar>
            <w:vAlign w:val="center"/>
          </w:tcPr>
          <w:p>
            <w:pPr>
              <w:spacing w:after="0" w:line="240"/>
            </w:pPr>
            <w:r>
              <w:rPr>
                <w:sz w:val="18"/>
                <w:szCs w:val="18"/>
              </w:rPr>
              <w:t xml:space="preserve">POST /api/v1/reviews/generate</w:t>
            </w:r>
          </w:p>
        </w:tc>
        <w:tc>
          <w:tcPr>
            <w:tcW w:type="dxa" w:w="6338"/>
            <w:tcMar>
              <w:top w:type="dxa" w:w="50"/>
              <w:left w:type="dxa" w:w="90"/>
              <w:bottom w:type="dxa" w:w="50"/>
              <w:right w:type="dxa" w:w="90"/>
            </w:tcMar>
            <w:vAlign w:val="center"/>
          </w:tcPr>
          <w:p>
            <w:pPr>
              <w:spacing w:after="0" w:line="240"/>
            </w:pPr>
            <w:r>
              <w:rPr>
                <w:sz w:val="18"/>
                <w:szCs w:val="18"/>
              </w:rPr>
              <w:t xml:space="preserve">Phase 2 : génération du rituel.</w:t>
            </w:r>
          </w:p>
        </w:tc>
      </w:tr>
      <w:tr>
        <w:tc>
          <w:tcPr>
            <w:tcW w:type="dxa" w:w="3300"/>
            <w:shd w:fill="F7F9FC" w:val="clear"/>
            <w:tcMar>
              <w:top w:type="dxa" w:w="50"/>
              <w:left w:type="dxa" w:w="90"/>
              <w:bottom w:type="dxa" w:w="50"/>
              <w:right w:type="dxa" w:w="90"/>
            </w:tcMar>
            <w:vAlign w:val="center"/>
          </w:tcPr>
          <w:p>
            <w:pPr>
              <w:spacing w:after="0" w:line="240"/>
            </w:pPr>
            <w:r>
              <w:rPr>
                <w:sz w:val="18"/>
                <w:szCs w:val="18"/>
              </w:rPr>
              <w:t xml:space="preserve">POST /api/v1/kpis/snapshot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Phase 2 : snapshot KPI immuable de fin de mois.</w:t>
            </w:r>
          </w:p>
        </w:tc>
      </w:tr>
    </w:tbl>
    <w:p>
      <w:pPr>
        <w:spacing w:after="100" w:before="0" w:line="264"/>
      </w:pPr>
      <w:r>
        <w:t xml:space="preserve">Tous les endpoints d’écriture acceptent un correlation_id et un hash d’entrée ; rejouer le même appel produit exactement le même état (idempotence, FR-220). En phase 2, n8n appelle ces mêmes endpoints : aucune règle métier n’est réimplémentée dans un workflow (FR-217).</w:t>
      </w:r>
    </w:p>
    <w:p>
      <w:pPr>
        <w:pStyle w:val="Heading1"/>
        <w:spacing w:after="140" w:before="300"/>
      </w:pPr>
      <w:r>
        <w:t xml:space="preserve">11. Sécurité, confidentialité et audit</w:t>
      </w:r>
    </w:p>
    <w:p>
      <w:pPr>
        <w:pStyle w:val="ListParagraph"/>
        <w:numPr>
          <w:ilvl w:val="0"/>
          <w:numId w:val="2"/>
        </w:numPr>
        <w:spacing w:after="60" w:line="264"/>
      </w:pPr>
      <w:r>
        <w:t xml:space="preserve">Application liée par défaut à localhost ; exposition au réseau local seulement après activation explicite.</w:t>
      </w:r>
    </w:p>
    <w:p>
      <w:pPr>
        <w:pStyle w:val="ListParagraph"/>
        <w:numPr>
          <w:ilvl w:val="0"/>
          <w:numId w:val="2"/>
        </w:numPr>
        <w:spacing w:after="60" w:line="264"/>
      </w:pPr>
      <w:r>
        <w:t xml:space="preserve">Authentification par mot de passe local fort ; verrouillage de session et délai d’inactivité.</w:t>
      </w:r>
    </w:p>
    <w:p>
      <w:pPr>
        <w:pStyle w:val="ListParagraph"/>
        <w:numPr>
          <w:ilvl w:val="0"/>
          <w:numId w:val="2"/>
        </w:numPr>
        <w:spacing w:after="60" w:line="264"/>
      </w:pPr>
      <w:r>
        <w:t xml:space="preserve">Secrets dans un coffre local ou en variables d’environnement ; jamais dans la base en clair, jamais dans git.</w:t>
      </w:r>
    </w:p>
    <w:p>
      <w:pPr>
        <w:pStyle w:val="ListParagraph"/>
        <w:numPr>
          <w:ilvl w:val="0"/>
          <w:numId w:val="2"/>
        </w:numPr>
        <w:spacing w:after="60" w:line="264"/>
      </w:pPr>
      <w:r>
        <w:t xml:space="preserve">Chiffrement du volume de données recommandé ; sauvegardes chiffrées.</w:t>
      </w:r>
    </w:p>
    <w:p>
      <w:pPr>
        <w:pStyle w:val="ListParagraph"/>
        <w:numPr>
          <w:ilvl w:val="0"/>
          <w:numId w:val="2"/>
        </w:numPr>
        <w:spacing w:after="60" w:line="264"/>
      </w:pPr>
      <w:r>
        <w:t xml:space="preserve">Aucune télémétrie ni envoi de données patrimoniales par défaut.</w:t>
      </w:r>
    </w:p>
    <w:p>
      <w:pPr>
        <w:pStyle w:val="ListParagraph"/>
        <w:numPr>
          <w:ilvl w:val="0"/>
          <w:numId w:val="2"/>
        </w:numPr>
        <w:spacing w:after="60" w:line="264"/>
      </w:pPr>
      <w:r>
        <w:t xml:space="preserve">Journal d’audit append-only pour imports, modifications, recommandations, stratégies, corrections.</w:t>
      </w:r>
    </w:p>
    <w:p>
      <w:pPr>
        <w:pStyle w:val="ListParagraph"/>
        <w:numPr>
          <w:ilvl w:val="0"/>
          <w:numId w:val="2"/>
        </w:numPr>
        <w:spacing w:after="60" w:line="264"/>
      </w:pPr>
      <w:r>
        <w:t xml:space="preserve">Documents transmis à une IA externe (si un jour activée) : sélection explicite et expurgation préalable.</w:t>
      </w:r>
    </w:p>
    <w:p>
      <w:pPr>
        <w:pStyle w:val="ListParagraph"/>
        <w:numPr>
          <w:ilvl w:val="0"/>
          <w:numId w:val="2"/>
        </w:numPr>
        <w:spacing w:after="60" w:line="264"/>
      </w:pPr>
      <w:r>
        <w:t xml:space="preserve">Sauvegarde/restauration testées et export complet en format ouvert.</w:t>
      </w:r>
    </w:p>
    <w:p>
      <w:pPr>
        <w:pStyle w:val="Heading2"/>
        <w:spacing w:after="120" w:before="240"/>
      </w:pPr>
      <w:r>
        <w:t xml:space="preserve">11.1 Journal d’audit minimum</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438"/>
      </w:tblGrid>
      <w:tr>
        <w:trPr>
          <w:tblHeader/>
        </w:trPr>
        <w:tc>
          <w:tcPr>
            <w:tcW w:type="dxa" w:w="2200"/>
            <w:shd w:fill="1F3864" w:val="clear"/>
            <w:tcMar>
              <w:top w:type="dxa" w:w="50"/>
              <w:left w:type="dxa" w:w="90"/>
              <w:bottom w:type="dxa" w:w="50"/>
              <w:right w:type="dxa" w:w="90"/>
            </w:tcMar>
            <w:vAlign w:val="center"/>
          </w:tcPr>
          <w:p>
            <w:pPr>
              <w:spacing w:after="0" w:line="240"/>
            </w:pPr>
            <w:r>
              <w:rPr>
                <w:b/>
                <w:bCs/>
                <w:color w:val="FFFFFF"/>
                <w:sz w:val="18"/>
                <w:szCs w:val="18"/>
              </w:rPr>
              <w:t xml:space="preserve">Événement</w:t>
            </w:r>
          </w:p>
        </w:tc>
        <w:tc>
          <w:tcPr>
            <w:tcW w:type="dxa" w:w="7438"/>
            <w:shd w:fill="1F3864" w:val="clear"/>
            <w:tcMar>
              <w:top w:type="dxa" w:w="50"/>
              <w:left w:type="dxa" w:w="90"/>
              <w:bottom w:type="dxa" w:w="50"/>
              <w:right w:type="dxa" w:w="90"/>
            </w:tcMar>
            <w:vAlign w:val="center"/>
          </w:tcPr>
          <w:p>
            <w:pPr>
              <w:spacing w:after="0" w:line="240"/>
            </w:pPr>
            <w:r>
              <w:rPr>
                <w:b/>
                <w:bCs/>
                <w:color w:val="FFFFFF"/>
                <w:sz w:val="18"/>
                <w:szCs w:val="18"/>
              </w:rPr>
              <w:t xml:space="preserve">Données conservées</w:t>
            </w:r>
          </w:p>
        </w:tc>
      </w:tr>
      <w:tr>
        <w:tc>
          <w:tcPr>
            <w:tcW w:type="dxa" w:w="2200"/>
            <w:tcMar>
              <w:top w:type="dxa" w:w="50"/>
              <w:left w:type="dxa" w:w="90"/>
              <w:bottom w:type="dxa" w:w="50"/>
              <w:right w:type="dxa" w:w="90"/>
            </w:tcMar>
            <w:vAlign w:val="center"/>
          </w:tcPr>
          <w:p>
            <w:pPr>
              <w:spacing w:after="0" w:line="240"/>
            </w:pPr>
            <w:r>
              <w:rPr>
                <w:sz w:val="18"/>
                <w:szCs w:val="18"/>
              </w:rPr>
              <w:t xml:space="preserve">Import</w:t>
            </w:r>
          </w:p>
        </w:tc>
        <w:tc>
          <w:tcPr>
            <w:tcW w:type="dxa" w:w="7438"/>
            <w:tcMar>
              <w:top w:type="dxa" w:w="50"/>
              <w:left w:type="dxa" w:w="90"/>
              <w:bottom w:type="dxa" w:w="50"/>
              <w:right w:type="dxa" w:w="90"/>
            </w:tcMar>
            <w:vAlign w:val="center"/>
          </w:tcPr>
          <w:p>
            <w:pPr>
              <w:spacing w:after="0" w:line="240"/>
            </w:pPr>
            <w:r>
              <w:rPr>
                <w:sz w:val="18"/>
                <w:szCs w:val="18"/>
              </w:rPr>
              <w:t xml:space="preserve">Utilisateur, fichier, hash, mapping, date, résultat, erreurs.</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Modification</w:t>
            </w:r>
          </w:p>
        </w:tc>
        <w:tc>
          <w:tcPr>
            <w:tcW w:type="dxa" w:w="7438"/>
            <w:shd w:fill="F7F9FC" w:val="clear"/>
            <w:tcMar>
              <w:top w:type="dxa" w:w="50"/>
              <w:left w:type="dxa" w:w="90"/>
              <w:bottom w:type="dxa" w:w="50"/>
              <w:right w:type="dxa" w:w="90"/>
            </w:tcMar>
            <w:vAlign w:val="center"/>
          </w:tcPr>
          <w:p>
            <w:pPr>
              <w:spacing w:after="0" w:line="240"/>
            </w:pPr>
            <w:r>
              <w:rPr>
                <w:sz w:val="18"/>
                <w:szCs w:val="18"/>
              </w:rPr>
              <w:t xml:space="preserve">Valeur avant/après, motif, horodatage.</w:t>
            </w:r>
          </w:p>
        </w:tc>
      </w:tr>
      <w:tr>
        <w:tc>
          <w:tcPr>
            <w:tcW w:type="dxa" w:w="2200"/>
            <w:tcMar>
              <w:top w:type="dxa" w:w="50"/>
              <w:left w:type="dxa" w:w="90"/>
              <w:bottom w:type="dxa" w:w="50"/>
              <w:right w:type="dxa" w:w="90"/>
            </w:tcMar>
            <w:vAlign w:val="center"/>
          </w:tcPr>
          <w:p>
            <w:pPr>
              <w:spacing w:after="0" w:line="240"/>
            </w:pPr>
            <w:r>
              <w:rPr>
                <w:sz w:val="18"/>
                <w:szCs w:val="18"/>
              </w:rPr>
              <w:t xml:space="preserve">Préconisation</w:t>
            </w:r>
          </w:p>
        </w:tc>
        <w:tc>
          <w:tcPr>
            <w:tcW w:type="dxa" w:w="7438"/>
            <w:tcMar>
              <w:top w:type="dxa" w:w="50"/>
              <w:left w:type="dxa" w:w="90"/>
              <w:bottom w:type="dxa" w:w="50"/>
              <w:right w:type="dxa" w:w="90"/>
            </w:tcMar>
            <w:vAlign w:val="center"/>
          </w:tcPr>
          <w:p>
            <w:pPr>
              <w:spacing w:after="0" w:line="240"/>
            </w:pPr>
            <w:r>
              <w:rPr>
                <w:sz w:val="18"/>
                <w:szCs w:val="18"/>
              </w:rPr>
              <w:t xml:space="preserve">Version, snapshot, sources, règle utilisée.</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Décision utilisateur</w:t>
            </w:r>
          </w:p>
        </w:tc>
        <w:tc>
          <w:tcPr>
            <w:tcW w:type="dxa" w:w="7438"/>
            <w:shd w:fill="F7F9FC" w:val="clear"/>
            <w:tcMar>
              <w:top w:type="dxa" w:w="50"/>
              <w:left w:type="dxa" w:w="90"/>
              <w:bottom w:type="dxa" w:w="50"/>
              <w:right w:type="dxa" w:w="90"/>
            </w:tcMar>
            <w:vAlign w:val="center"/>
          </w:tcPr>
          <w:p>
            <w:pPr>
              <w:spacing w:after="0" w:line="240"/>
            </w:pPr>
            <w:r>
              <w:rPr>
                <w:sz w:val="18"/>
                <w:szCs w:val="18"/>
              </w:rPr>
              <w:t xml:space="preserve">Acceptée / refusée / modifiée, motif, paramètres réels.</w:t>
            </w:r>
          </w:p>
        </w:tc>
      </w:tr>
      <w:tr>
        <w:tc>
          <w:tcPr>
            <w:tcW w:type="dxa" w:w="2200"/>
            <w:tcMar>
              <w:top w:type="dxa" w:w="50"/>
              <w:left w:type="dxa" w:w="90"/>
              <w:bottom w:type="dxa" w:w="50"/>
              <w:right w:type="dxa" w:w="90"/>
            </w:tcMar>
            <w:vAlign w:val="center"/>
          </w:tcPr>
          <w:p>
            <w:pPr>
              <w:spacing w:after="0" w:line="240"/>
            </w:pPr>
            <w:r>
              <w:rPr>
                <w:sz w:val="18"/>
                <w:szCs w:val="18"/>
              </w:rPr>
              <w:t xml:space="preserve">Stratégie</w:t>
            </w:r>
          </w:p>
        </w:tc>
        <w:tc>
          <w:tcPr>
            <w:tcW w:type="dxa" w:w="7438"/>
            <w:tcMar>
              <w:top w:type="dxa" w:w="50"/>
              <w:left w:type="dxa" w:w="90"/>
              <w:bottom w:type="dxa" w:w="50"/>
              <w:right w:type="dxa" w:w="90"/>
            </w:tcMar>
            <w:vAlign w:val="center"/>
          </w:tcPr>
          <w:p>
            <w:pPr>
              <w:spacing w:after="0" w:line="240"/>
            </w:pPr>
            <w:r>
              <w:rPr>
                <w:sz w:val="18"/>
                <w:szCs w:val="18"/>
              </w:rPr>
              <w:t xml:space="preserve">Version précédente, proposition, backtest, approbation.</w:t>
            </w:r>
          </w:p>
        </w:tc>
      </w:tr>
      <w:tr>
        <w:tc>
          <w:tcPr>
            <w:tcW w:type="dxa" w:w="2200"/>
            <w:shd w:fill="F7F9FC" w:val="clear"/>
            <w:tcMar>
              <w:top w:type="dxa" w:w="50"/>
              <w:left w:type="dxa" w:w="90"/>
              <w:bottom w:type="dxa" w:w="50"/>
              <w:right w:type="dxa" w:w="90"/>
            </w:tcMar>
            <w:vAlign w:val="center"/>
          </w:tcPr>
          <w:p>
            <w:pPr>
              <w:spacing w:after="0" w:line="240"/>
            </w:pPr>
            <w:r>
              <w:rPr>
                <w:sz w:val="18"/>
                <w:szCs w:val="18"/>
              </w:rPr>
              <w:t xml:space="preserve">Alerte</w:t>
            </w:r>
          </w:p>
        </w:tc>
        <w:tc>
          <w:tcPr>
            <w:tcW w:type="dxa" w:w="7438"/>
            <w:shd w:fill="F7F9FC" w:val="clear"/>
            <w:tcMar>
              <w:top w:type="dxa" w:w="50"/>
              <w:left w:type="dxa" w:w="90"/>
              <w:bottom w:type="dxa" w:w="50"/>
              <w:right w:type="dxa" w:w="90"/>
            </w:tcMar>
            <w:vAlign w:val="center"/>
          </w:tcPr>
          <w:p>
            <w:pPr>
              <w:spacing w:after="0" w:line="240"/>
            </w:pPr>
            <w:r>
              <w:rPr>
                <w:sz w:val="18"/>
                <w:szCs w:val="18"/>
              </w:rPr>
              <w:t xml:space="preserve">Déclencheur, résolution, délai.</w:t>
            </w:r>
          </w:p>
        </w:tc>
      </w:tr>
    </w:tbl>
    <w:p>
      <w:pPr>
        <w:pStyle w:val="Heading1"/>
        <w:spacing w:after="140" w:before="300"/>
      </w:pPr>
      <w:r>
        <w:t xml:space="preserve">12. Exigences non fonctionnelles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838"/>
      </w:tblGrid>
      <w:tr>
        <w:trPr>
          <w:tblHeader/>
        </w:trPr>
        <w:tc>
          <w:tcPr>
            <w:tcW w:type="dxa" w:w="1800"/>
            <w:shd w:fill="1F3864" w:val="clear"/>
            <w:tcMar>
              <w:top w:type="dxa" w:w="50"/>
              <w:left w:type="dxa" w:w="90"/>
              <w:bottom w:type="dxa" w:w="50"/>
              <w:right w:type="dxa" w:w="90"/>
            </w:tcMar>
            <w:vAlign w:val="center"/>
          </w:tcPr>
          <w:p>
            <w:pPr>
              <w:spacing w:after="0" w:line="240"/>
            </w:pPr>
            <w:r>
              <w:rPr>
                <w:b/>
                <w:bCs/>
                <w:color w:val="FFFFFF"/>
                <w:sz w:val="18"/>
                <w:szCs w:val="18"/>
              </w:rPr>
              <w:t xml:space="preserve">Catégorie</w:t>
            </w:r>
          </w:p>
        </w:tc>
        <w:tc>
          <w:tcPr>
            <w:tcW w:type="dxa" w:w="7838"/>
            <w:shd w:fill="1F3864" w:val="clear"/>
            <w:tcMar>
              <w:top w:type="dxa" w:w="50"/>
              <w:left w:type="dxa" w:w="90"/>
              <w:bottom w:type="dxa" w:w="50"/>
              <w:right w:type="dxa" w:w="90"/>
            </w:tcMar>
            <w:vAlign w:val="center"/>
          </w:tcPr>
          <w:p>
            <w:pPr>
              <w:spacing w:after="0" w:line="240"/>
            </w:pPr>
            <w:r>
              <w:rPr>
                <w:b/>
                <w:bCs/>
                <w:color w:val="FFFFFF"/>
                <w:sz w:val="18"/>
                <w:szCs w:val="18"/>
              </w:rPr>
              <w:t xml:space="preserve">Exigence mesurable</w:t>
            </w:r>
          </w:p>
        </w:tc>
      </w:tr>
      <w:tr>
        <w:tc>
          <w:tcPr>
            <w:tcW w:type="dxa" w:w="1800"/>
            <w:tcMar>
              <w:top w:type="dxa" w:w="50"/>
              <w:left w:type="dxa" w:w="90"/>
              <w:bottom w:type="dxa" w:w="50"/>
              <w:right w:type="dxa" w:w="90"/>
            </w:tcMar>
            <w:vAlign w:val="center"/>
          </w:tcPr>
          <w:p>
            <w:pPr>
              <w:spacing w:after="0" w:line="240"/>
            </w:pPr>
            <w:r>
              <w:rPr>
                <w:sz w:val="18"/>
                <w:szCs w:val="18"/>
              </w:rPr>
              <w:t xml:space="preserve">Performance</w:t>
            </w:r>
          </w:p>
        </w:tc>
        <w:tc>
          <w:tcPr>
            <w:tcW w:type="dxa" w:w="7838"/>
            <w:tcMar>
              <w:top w:type="dxa" w:w="50"/>
              <w:left w:type="dxa" w:w="90"/>
              <w:bottom w:type="dxa" w:w="50"/>
              <w:right w:type="dxa" w:w="90"/>
            </w:tcMar>
            <w:vAlign w:val="center"/>
          </w:tcPr>
          <w:p>
            <w:pPr>
              <w:spacing w:after="0" w:line="240"/>
            </w:pPr>
            <w:r>
              <w:rPr>
                <w:sz w:val="18"/>
                <w:szCs w:val="18"/>
              </w:rPr>
              <w:t xml:space="preserve">Dashboard &lt; 2 s pour 10 ans de données et 100 000 transactions ; import de 10 000 lignes &lt; 30 s sur machine standard.</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Disponibilité</w:t>
            </w:r>
          </w:p>
        </w:tc>
        <w:tc>
          <w:tcPr>
            <w:tcW w:type="dxa" w:w="7838"/>
            <w:shd w:fill="F7F9FC" w:val="clear"/>
            <w:tcMar>
              <w:top w:type="dxa" w:w="50"/>
              <w:left w:type="dxa" w:w="90"/>
              <w:bottom w:type="dxa" w:w="50"/>
              <w:right w:type="dxa" w:w="90"/>
            </w:tcMar>
            <w:vAlign w:val="center"/>
          </w:tcPr>
          <w:p>
            <w:pPr>
              <w:spacing w:after="0" w:line="240"/>
            </w:pPr>
            <w:r>
              <w:rPr>
                <w:sz w:val="18"/>
                <w:szCs w:val="18"/>
              </w:rPr>
              <w:t xml:space="preserve">Fonctionnement hors ligne pour les données déjà importées ; cache des données externes.</w:t>
            </w:r>
          </w:p>
        </w:tc>
      </w:tr>
      <w:tr>
        <w:tc>
          <w:tcPr>
            <w:tcW w:type="dxa" w:w="1800"/>
            <w:tcMar>
              <w:top w:type="dxa" w:w="50"/>
              <w:left w:type="dxa" w:w="90"/>
              <w:bottom w:type="dxa" w:w="50"/>
              <w:right w:type="dxa" w:w="90"/>
            </w:tcMar>
            <w:vAlign w:val="center"/>
          </w:tcPr>
          <w:p>
            <w:pPr>
              <w:spacing w:after="0" w:line="240"/>
            </w:pPr>
            <w:r>
              <w:rPr>
                <w:sz w:val="18"/>
                <w:szCs w:val="18"/>
              </w:rPr>
              <w:t xml:space="preserve">Fiabilité</w:t>
            </w:r>
          </w:p>
        </w:tc>
        <w:tc>
          <w:tcPr>
            <w:tcW w:type="dxa" w:w="7838"/>
            <w:tcMar>
              <w:top w:type="dxa" w:w="50"/>
              <w:left w:type="dxa" w:w="90"/>
              <w:bottom w:type="dxa" w:w="50"/>
              <w:right w:type="dxa" w:w="90"/>
            </w:tcMar>
            <w:vAlign w:val="center"/>
          </w:tcPr>
          <w:p>
            <w:pPr>
              <w:spacing w:after="0" w:line="240"/>
            </w:pPr>
            <w:r>
              <w:rPr>
                <w:sz w:val="18"/>
                <w:szCs w:val="18"/>
              </w:rPr>
              <w:t xml:space="preserve">Imports idempotents, migrations versionnées, calculs reproductibles.</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Exactitude</w:t>
            </w:r>
          </w:p>
        </w:tc>
        <w:tc>
          <w:tcPr>
            <w:tcW w:type="dxa" w:w="7838"/>
            <w:shd w:fill="F7F9FC" w:val="clear"/>
            <w:tcMar>
              <w:top w:type="dxa" w:w="50"/>
              <w:left w:type="dxa" w:w="90"/>
              <w:bottom w:type="dxa" w:w="50"/>
              <w:right w:type="dxa" w:w="90"/>
            </w:tcMar>
            <w:vAlign w:val="center"/>
          </w:tcPr>
          <w:p>
            <w:pPr>
              <w:spacing w:after="0" w:line="240"/>
            </w:pPr>
            <w:r>
              <w:rPr>
                <w:sz w:val="18"/>
                <w:szCs w:val="18"/>
              </w:rPr>
              <w:t xml:space="preserve">Rapprochement P/L et valorisation avec le courtier dans la tolérance (défaut : 1 € ou 0,1 %).</w:t>
            </w:r>
          </w:p>
        </w:tc>
      </w:tr>
      <w:tr>
        <w:tc>
          <w:tcPr>
            <w:tcW w:type="dxa" w:w="1800"/>
            <w:tcMar>
              <w:top w:type="dxa" w:w="50"/>
              <w:left w:type="dxa" w:w="90"/>
              <w:bottom w:type="dxa" w:w="50"/>
              <w:right w:type="dxa" w:w="90"/>
            </w:tcMar>
            <w:vAlign w:val="center"/>
          </w:tcPr>
          <w:p>
            <w:pPr>
              <w:spacing w:after="0" w:line="240"/>
            </w:pPr>
            <w:r>
              <w:rPr>
                <w:sz w:val="18"/>
                <w:szCs w:val="18"/>
              </w:rPr>
              <w:t xml:space="preserve">Traçabilité</w:t>
            </w:r>
          </w:p>
        </w:tc>
        <w:tc>
          <w:tcPr>
            <w:tcW w:type="dxa" w:w="7838"/>
            <w:tcMar>
              <w:top w:type="dxa" w:w="50"/>
              <w:left w:type="dxa" w:w="90"/>
              <w:bottom w:type="dxa" w:w="50"/>
              <w:right w:type="dxa" w:w="90"/>
            </w:tcMar>
            <w:vAlign w:val="center"/>
          </w:tcPr>
          <w:p>
            <w:pPr>
              <w:spacing w:after="0" w:line="240"/>
            </w:pPr>
            <w:r>
              <w:rPr>
                <w:sz w:val="18"/>
                <w:szCs w:val="18"/>
              </w:rPr>
              <w:t xml:space="preserve">Toute recommandation reconstructible depuis son snapshot et ses sources.</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Maintenabilité</w:t>
            </w:r>
          </w:p>
        </w:tc>
        <w:tc>
          <w:tcPr>
            <w:tcW w:type="dxa" w:w="7838"/>
            <w:shd w:fill="F7F9FC" w:val="clear"/>
            <w:tcMar>
              <w:top w:type="dxa" w:w="50"/>
              <w:left w:type="dxa" w:w="90"/>
              <w:bottom w:type="dxa" w:w="50"/>
              <w:right w:type="dxa" w:w="90"/>
            </w:tcMar>
            <w:vAlign w:val="center"/>
          </w:tcPr>
          <w:p>
            <w:pPr>
              <w:spacing w:after="0" w:line="240"/>
            </w:pPr>
            <w:r>
              <w:rPr>
                <w:sz w:val="18"/>
                <w:szCs w:val="18"/>
              </w:rPr>
              <w:t xml:space="preserve">Tests unitaires des formules, typage strict, lint bloquant, migrations, documentation API générée.</w:t>
            </w:r>
          </w:p>
        </w:tc>
      </w:tr>
      <w:tr>
        <w:tc>
          <w:tcPr>
            <w:tcW w:type="dxa" w:w="1800"/>
            <w:tcMar>
              <w:top w:type="dxa" w:w="50"/>
              <w:left w:type="dxa" w:w="90"/>
              <w:bottom w:type="dxa" w:w="50"/>
              <w:right w:type="dxa" w:w="90"/>
            </w:tcMar>
            <w:vAlign w:val="center"/>
          </w:tcPr>
          <w:p>
            <w:pPr>
              <w:spacing w:after="0" w:line="240"/>
            </w:pPr>
            <w:r>
              <w:rPr>
                <w:sz w:val="18"/>
                <w:szCs w:val="18"/>
              </w:rPr>
              <w:t xml:space="preserve">Portabilité</w:t>
            </w:r>
          </w:p>
        </w:tc>
        <w:tc>
          <w:tcPr>
            <w:tcW w:type="dxa" w:w="7838"/>
            <w:tcMar>
              <w:top w:type="dxa" w:w="50"/>
              <w:left w:type="dxa" w:w="90"/>
              <w:bottom w:type="dxa" w:w="50"/>
              <w:right w:type="dxa" w:w="90"/>
            </w:tcMar>
            <w:vAlign w:val="center"/>
          </w:tcPr>
          <w:p>
            <w:pPr>
              <w:spacing w:after="0" w:line="240"/>
            </w:pPr>
            <w:r>
              <w:rPr>
                <w:sz w:val="18"/>
                <w:szCs w:val="18"/>
              </w:rPr>
              <w:t xml:space="preserve">Windows, macOS ou Linux via Docker Desktop / Docker Engine.</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Accessibilité</w:t>
            </w:r>
          </w:p>
        </w:tc>
        <w:tc>
          <w:tcPr>
            <w:tcW w:type="dxa" w:w="7838"/>
            <w:shd w:fill="F7F9FC" w:val="clear"/>
            <w:tcMar>
              <w:top w:type="dxa" w:w="50"/>
              <w:left w:type="dxa" w:w="90"/>
              <w:bottom w:type="dxa" w:w="50"/>
              <w:right w:type="dxa" w:w="90"/>
            </w:tcMar>
            <w:vAlign w:val="center"/>
          </w:tcPr>
          <w:p>
            <w:pPr>
              <w:spacing w:after="0" w:line="240"/>
            </w:pPr>
            <w:r>
              <w:rPr>
                <w:sz w:val="18"/>
                <w:szCs w:val="18"/>
              </w:rPr>
              <w:t xml:space="preserve">Navigation clavier, contrastes lisibles, textes redimensionnables, valeurs accessibles sur les graphiques.</w:t>
            </w:r>
          </w:p>
        </w:tc>
      </w:tr>
      <w:tr>
        <w:tc>
          <w:tcPr>
            <w:tcW w:type="dxa" w:w="1800"/>
            <w:tcMar>
              <w:top w:type="dxa" w:w="50"/>
              <w:left w:type="dxa" w:w="90"/>
              <w:bottom w:type="dxa" w:w="50"/>
              <w:right w:type="dxa" w:w="90"/>
            </w:tcMar>
            <w:vAlign w:val="center"/>
          </w:tcPr>
          <w:p>
            <w:pPr>
              <w:spacing w:after="0" w:line="240"/>
            </w:pPr>
            <w:r>
              <w:rPr>
                <w:sz w:val="18"/>
                <w:szCs w:val="18"/>
              </w:rPr>
              <w:t xml:space="preserve">Localisation</w:t>
            </w:r>
          </w:p>
        </w:tc>
        <w:tc>
          <w:tcPr>
            <w:tcW w:type="dxa" w:w="7838"/>
            <w:tcMar>
              <w:top w:type="dxa" w:w="50"/>
              <w:left w:type="dxa" w:w="90"/>
              <w:bottom w:type="dxa" w:w="50"/>
              <w:right w:type="dxa" w:w="90"/>
            </w:tcMar>
            <w:vAlign w:val="center"/>
          </w:tcPr>
          <w:p>
            <w:pPr>
              <w:spacing w:after="0" w:line="240"/>
            </w:pPr>
            <w:r>
              <w:rPr>
                <w:sz w:val="18"/>
                <w:szCs w:val="18"/>
              </w:rPr>
              <w:t xml:space="preserve">Interface française ; stockage UTC ; affichage Europe/Paris pour le pilotage (option Indian/Reunion) et heure locale de place pour les données de marché ; multi-devises avec EUR de référence.</w:t>
            </w:r>
          </w:p>
        </w:tc>
      </w:tr>
      <w:tr>
        <w:tc>
          <w:tcPr>
            <w:tcW w:type="dxa" w:w="1800"/>
            <w:shd w:fill="F7F9FC" w:val="clear"/>
            <w:tcMar>
              <w:top w:type="dxa" w:w="50"/>
              <w:left w:type="dxa" w:w="90"/>
              <w:bottom w:type="dxa" w:w="50"/>
              <w:right w:type="dxa" w:w="90"/>
            </w:tcMar>
            <w:vAlign w:val="center"/>
          </w:tcPr>
          <w:p>
            <w:pPr>
              <w:spacing w:after="0" w:line="240"/>
            </w:pPr>
            <w:r>
              <w:rPr>
                <w:sz w:val="18"/>
                <w:szCs w:val="18"/>
              </w:rPr>
              <w:t xml:space="preserve">Volumétrie marché</w:t>
            </w:r>
          </w:p>
        </w:tc>
        <w:tc>
          <w:tcPr>
            <w:tcW w:type="dxa" w:w="7838"/>
            <w:shd w:fill="F7F9FC" w:val="clear"/>
            <w:tcMar>
              <w:top w:type="dxa" w:w="50"/>
              <w:left w:type="dxa" w:w="90"/>
              <w:bottom w:type="dxa" w:w="50"/>
              <w:right w:type="dxa" w:w="90"/>
            </w:tcMar>
            <w:vAlign w:val="center"/>
          </w:tcPr>
          <w:p>
            <w:pPr>
              <w:spacing w:after="0" w:line="240"/>
            </w:pPr>
            <w:r>
              <w:rPr>
                <w:sz w:val="18"/>
                <w:szCs w:val="18"/>
              </w:rPr>
              <w:t xml:space="preserve">≥ 10 ans d’OHLCV pour 300 listings répartis sur 10 places et 6 devises, sans dégradation du dashboard ni des KPI.</w:t>
            </w:r>
          </w:p>
        </w:tc>
      </w:tr>
    </w:tbl>
    <w:p>
      <w:pPr>
        <w:pStyle w:val="Heading1"/>
        <w:spacing w:after="140" w:before="300"/>
      </w:pPr>
      <w:r>
        <w:t xml:space="preserve">13. Reprise des données existantes</w:t>
      </w:r>
    </w:p>
    <w:p>
      <w:pPr>
        <w:spacing w:after="60" w:line="264"/>
        <w:ind w:left="240"/>
      </w:pPr>
      <w:r>
        <w:rPr>
          <w:b/>
          <w:bCs/>
        </w:rPr>
        <w:t xml:space="preserve">1. </w:t>
      </w:r>
      <w:r>
        <w:t xml:space="preserve">Créer le référentiel des comptes : Saxo CTO/SRD, Boursobank PEA, comptes de liquidités, réserve immobilière.</w:t>
      </w:r>
    </w:p>
    <w:p>
      <w:pPr>
        <w:spacing w:after="60" w:line="264"/>
        <w:ind w:left="240"/>
      </w:pPr>
      <w:r>
        <w:rPr>
          <w:b/>
          <w:bCs/>
        </w:rPr>
        <w:t xml:space="preserve">2. </w:t>
      </w:r>
      <w:r>
        <w:t xml:space="preserve">Créer le référentiel des places : MIC, fuseaux, horaires, jours fériés, cycle de règlement, indice de gate et autorisation SRD.</w:t>
      </w:r>
    </w:p>
    <w:p>
      <w:pPr>
        <w:spacing w:after="60" w:line="264"/>
        <w:ind w:left="240"/>
      </w:pPr>
      <w:r>
        <w:rPr>
          <w:b/>
          <w:bCs/>
        </w:rPr>
        <w:t xml:space="preserve">3. </w:t>
      </w:r>
      <w:r>
        <w:t xml:space="preserve">Importer le référentiel instruments et leurs listings à partir des ISIN et des places présents dans les fichiers, en désignant une place de référence par instrument.</w:t>
      </w:r>
    </w:p>
    <w:p>
      <w:pPr>
        <w:spacing w:after="60" w:line="264"/>
        <w:ind w:left="240"/>
      </w:pPr>
      <w:r>
        <w:rPr>
          <w:b/>
          <w:bCs/>
        </w:rPr>
        <w:t xml:space="preserve">4. </w:t>
      </w:r>
      <w:r>
        <w:t xml:space="preserve">Importer l’historique des transactions Saxo, puis les opérations sur titres et frais.</w:t>
      </w:r>
    </w:p>
    <w:p>
      <w:pPr>
        <w:spacing w:after="60" w:line="264"/>
        <w:ind w:left="240"/>
      </w:pPr>
      <w:r>
        <w:rPr>
          <w:b/>
          <w:bCs/>
        </w:rPr>
        <w:t xml:space="preserve">5. </w:t>
      </w:r>
      <w:r>
        <w:t xml:space="preserve">Importer les positions actuelles Saxo et Boursobank et lancer le rapprochement.</w:t>
      </w:r>
    </w:p>
    <w:p>
      <w:pPr>
        <w:spacing w:after="60" w:line="264"/>
        <w:ind w:left="240"/>
      </w:pPr>
      <w:r>
        <w:rPr>
          <w:b/>
          <w:bCs/>
        </w:rPr>
        <w:t xml:space="preserve">6. </w:t>
      </w:r>
      <w:r>
        <w:t xml:space="preserve">Importer les cotations historiques et les taux de change disponibles.</w:t>
      </w:r>
    </w:p>
    <w:p>
      <w:pPr>
        <w:spacing w:after="60" w:line="264"/>
        <w:ind w:left="240"/>
      </w:pPr>
      <w:r>
        <w:rPr>
          <w:b/>
          <w:bCs/>
        </w:rPr>
        <w:t xml:space="preserve">7. </w:t>
      </w:r>
      <w:r>
        <w:t xml:space="preserve">Importer les documents Momentum et reconstruire les recommandations historiques.</w:t>
      </w:r>
    </w:p>
    <w:p>
      <w:pPr>
        <w:spacing w:after="60" w:line="264"/>
        <w:ind w:left="240"/>
      </w:pPr>
      <w:r>
        <w:rPr>
          <w:b/>
          <w:bCs/>
        </w:rPr>
        <w:t xml:space="preserve">8. </w:t>
      </w:r>
      <w:r>
        <w:t xml:space="preserve">Importer manuellement les décisions et recommandations déjà prises (export Claude, §6.18).</w:t>
      </w:r>
    </w:p>
    <w:p>
      <w:pPr>
        <w:spacing w:after="60" w:line="264"/>
        <w:ind w:left="240"/>
      </w:pPr>
      <w:r>
        <w:rPr>
          <w:b/>
          <w:bCs/>
        </w:rPr>
        <w:t xml:space="preserve">9. </w:t>
      </w:r>
      <w:r>
        <w:t xml:space="preserve">Valider P/L, quantités et ordres ouverts avant de déclarer la base comme référence.</w:t>
      </w:r>
    </w:p>
    <w:p>
      <w:pPr>
        <w:spacing w:after="100" w:before="0" w:line="264"/>
      </w:pPr>
      <w:r>
        <w:t xml:space="preserve">Le mapping détaillé des fichiers réels figure en annexe D et sert de contrat pour les parseurs (les fixtures de §2.7 en sont dérivées).</w:t>
      </w:r>
    </w:p>
    <w:p>
      <w:r>
        <w:br w:type="page"/>
      </w:r>
    </w:p>
    <w:p>
      <w:pPr>
        <w:pStyle w:val="Heading1"/>
        <w:spacing w:after="140" w:before="300"/>
      </w:pPr>
      <w:r>
        <w:t xml:space="preserve">14. Stratégie de test et recette</w:t>
      </w:r>
    </w:p>
    <w:p>
      <w:pPr>
        <w:pStyle w:val="Heading2"/>
        <w:spacing w:after="120" w:before="240"/>
      </w:pPr>
      <w:r>
        <w:t xml:space="preserve">14.1 Principes</w:t>
      </w:r>
    </w:p>
    <w:p>
      <w:pPr>
        <w:pStyle w:val="ListParagraph"/>
        <w:numPr>
          <w:ilvl w:val="0"/>
          <w:numId w:val="2"/>
        </w:numPr>
        <w:spacing w:after="60" w:line="264"/>
      </w:pPr>
      <w:r>
        <w:rPr>
          <w:b/>
          <w:bCs/>
        </w:rPr>
        <w:t xml:space="preserve">Tests d’abord : </w:t>
      </w:r>
      <w:r>
        <w:t xml:space="preserve">dans chaque lot, les tests sont écrits avant l’implémentation.</w:t>
      </w:r>
    </w:p>
    <w:p>
      <w:pPr>
        <w:pStyle w:val="ListParagraph"/>
        <w:numPr>
          <w:ilvl w:val="0"/>
          <w:numId w:val="2"/>
        </w:numPr>
        <w:spacing w:after="60" w:line="264"/>
      </w:pPr>
      <w:r>
        <w:rPr>
          <w:b/>
          <w:bCs/>
        </w:rPr>
        <w:t xml:space="preserve">Un critère REC = un test automatisé </w:t>
      </w:r>
      <w:r>
        <w:t xml:space="preserve">nommé test_rec_XX ; la recette manuelle ne fait que confirmer.</w:t>
      </w:r>
    </w:p>
    <w:p>
      <w:pPr>
        <w:pStyle w:val="ListParagraph"/>
        <w:numPr>
          <w:ilvl w:val="0"/>
          <w:numId w:val="2"/>
        </w:numPr>
        <w:spacing w:after="60" w:line="264"/>
      </w:pPr>
      <w:r>
        <w:t xml:space="preserve">Pyramide : unitaires (formules §7), intégration (imports → positions → KPI sur fixtures golden), E2E ciblés (parcours de session quotidienne).</w:t>
      </w:r>
    </w:p>
    <w:p>
      <w:pPr>
        <w:pStyle w:val="ListParagraph"/>
        <w:numPr>
          <w:ilvl w:val="0"/>
          <w:numId w:val="2"/>
        </w:numPr>
        <w:spacing w:after="60" w:line="264"/>
      </w:pPr>
      <w:r>
        <w:t xml:space="preserve">Tests de propriétés (hypothesis) : idempotence des imports (importer 2× ≡ importer 1×), somme des lots = position, heat ≥ 0, TWR insensible aux apports/retraits, déduplication stable.</w:t>
      </w:r>
    </w:p>
    <w:p>
      <w:pPr>
        <w:pStyle w:val="ListParagraph"/>
        <w:numPr>
          <w:ilvl w:val="0"/>
          <w:numId w:val="2"/>
        </w:numPr>
        <w:spacing w:after="60" w:line="264"/>
      </w:pPr>
      <w:r>
        <w:t xml:space="preserve">Tolérance de rapprochement : 1 € ou 0,1 % (paramétrable).</w:t>
      </w:r>
    </w:p>
    <w:p>
      <w:pPr>
        <w:pStyle w:val="Heading2"/>
        <w:spacing w:after="120" w:before="240"/>
      </w:pPr>
      <w:r>
        <w:t xml:space="preserve">14.2 Critères de recette (REC)</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4200"/>
        <w:gridCol w:w="4538"/>
      </w:tblGrid>
      <w:tr>
        <w:trPr>
          <w:tblHeader/>
        </w:trPr>
        <w:tc>
          <w:tcPr>
            <w:tcW w:type="dxa" w:w="900"/>
            <w:shd w:fill="1F3864" w:val="clear"/>
            <w:tcMar>
              <w:top w:type="dxa" w:w="50"/>
              <w:left w:type="dxa" w:w="90"/>
              <w:bottom w:type="dxa" w:w="50"/>
              <w:right w:type="dxa" w:w="90"/>
            </w:tcMar>
            <w:vAlign w:val="center"/>
          </w:tcPr>
          <w:p>
            <w:pPr>
              <w:spacing w:after="0" w:line="240"/>
            </w:pPr>
            <w:r>
              <w:rPr>
                <w:b/>
                <w:bCs/>
                <w:color w:val="FFFFFF"/>
                <w:sz w:val="18"/>
                <w:szCs w:val="18"/>
              </w:rPr>
              <w:t xml:space="preserve">ID</w:t>
            </w:r>
          </w:p>
        </w:tc>
        <w:tc>
          <w:tcPr>
            <w:tcW w:type="dxa" w:w="4200"/>
            <w:shd w:fill="1F3864" w:val="clear"/>
            <w:tcMar>
              <w:top w:type="dxa" w:w="50"/>
              <w:left w:type="dxa" w:w="90"/>
              <w:bottom w:type="dxa" w:w="50"/>
              <w:right w:type="dxa" w:w="90"/>
            </w:tcMar>
            <w:vAlign w:val="center"/>
          </w:tcPr>
          <w:p>
            <w:pPr>
              <w:spacing w:after="0" w:line="240"/>
            </w:pPr>
            <w:r>
              <w:rPr>
                <w:b/>
                <w:bCs/>
                <w:color w:val="FFFFFF"/>
                <w:sz w:val="18"/>
                <w:szCs w:val="18"/>
              </w:rPr>
              <w:t xml:space="preserve">Scénario</w:t>
            </w:r>
          </w:p>
        </w:tc>
        <w:tc>
          <w:tcPr>
            <w:tcW w:type="dxa" w:w="4538"/>
            <w:shd w:fill="1F3864" w:val="clear"/>
            <w:tcMar>
              <w:top w:type="dxa" w:w="50"/>
              <w:left w:type="dxa" w:w="90"/>
              <w:bottom w:type="dxa" w:w="50"/>
              <w:right w:type="dxa" w:w="90"/>
            </w:tcMar>
            <w:vAlign w:val="center"/>
          </w:tcPr>
          <w:p>
            <w:pPr>
              <w:spacing w:after="0" w:line="240"/>
            </w:pPr>
            <w:r>
              <w:rPr>
                <w:b/>
                <w:bCs/>
                <w:color w:val="FFFFFF"/>
                <w:sz w:val="18"/>
                <w:szCs w:val="18"/>
              </w:rPr>
              <w:t xml:space="preserve">Résultat attendu</w:t>
            </w:r>
          </w:p>
        </w:tc>
      </w:tr>
      <w:tr>
        <w:tc>
          <w:tcPr>
            <w:tcW w:type="dxa" w:w="900"/>
            <w:tcMar>
              <w:top w:type="dxa" w:w="50"/>
              <w:left w:type="dxa" w:w="90"/>
              <w:bottom w:type="dxa" w:w="50"/>
              <w:right w:type="dxa" w:w="90"/>
            </w:tcMar>
            <w:vAlign w:val="center"/>
          </w:tcPr>
          <w:p>
            <w:pPr>
              <w:spacing w:after="0" w:line="240"/>
            </w:pPr>
            <w:r>
              <w:rPr>
                <w:sz w:val="18"/>
                <w:szCs w:val="18"/>
              </w:rPr>
              <w:t xml:space="preserve">REC-01</w:t>
            </w:r>
          </w:p>
        </w:tc>
        <w:tc>
          <w:tcPr>
            <w:tcW w:type="dxa" w:w="4200"/>
            <w:tcMar>
              <w:top w:type="dxa" w:w="50"/>
              <w:left w:type="dxa" w:w="90"/>
              <w:bottom w:type="dxa" w:w="50"/>
              <w:right w:type="dxa" w:w="90"/>
            </w:tcMar>
            <w:vAlign w:val="center"/>
          </w:tcPr>
          <w:p>
            <w:pPr>
              <w:spacing w:after="0" w:line="240"/>
            </w:pPr>
            <w:r>
              <w:rPr>
                <w:sz w:val="18"/>
                <w:szCs w:val="18"/>
              </w:rPr>
              <w:t xml:space="preserve">Importer deux fois le même fichier Saxo.</w:t>
            </w:r>
          </w:p>
        </w:tc>
        <w:tc>
          <w:tcPr>
            <w:tcW w:type="dxa" w:w="4538"/>
            <w:tcMar>
              <w:top w:type="dxa" w:w="50"/>
              <w:left w:type="dxa" w:w="90"/>
              <w:bottom w:type="dxa" w:w="50"/>
              <w:right w:type="dxa" w:w="90"/>
            </w:tcMar>
            <w:vAlign w:val="center"/>
          </w:tcPr>
          <w:p>
            <w:pPr>
              <w:spacing w:after="0" w:line="240"/>
            </w:pPr>
            <w:r>
              <w:rPr>
                <w:sz w:val="18"/>
                <w:szCs w:val="18"/>
              </w:rPr>
              <w:t xml:space="preserve">Aucune transaction dupliquée ; lot marqué « déjà importé ».</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REC-02</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Vendre une position avec un stop encore actif.</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Alerte critique « ordre vendeur orphelin ».</w:t>
            </w:r>
          </w:p>
        </w:tc>
      </w:tr>
      <w:tr>
        <w:tc>
          <w:tcPr>
            <w:tcW w:type="dxa" w:w="900"/>
            <w:tcMar>
              <w:top w:type="dxa" w:w="50"/>
              <w:left w:type="dxa" w:w="90"/>
              <w:bottom w:type="dxa" w:w="50"/>
              <w:right w:type="dxa" w:w="90"/>
            </w:tcMar>
            <w:vAlign w:val="center"/>
          </w:tcPr>
          <w:p>
            <w:pPr>
              <w:spacing w:after="0" w:line="240"/>
            </w:pPr>
            <w:r>
              <w:rPr>
                <w:sz w:val="18"/>
                <w:szCs w:val="18"/>
              </w:rPr>
              <w:t xml:space="preserve">REC-03</w:t>
            </w:r>
          </w:p>
        </w:tc>
        <w:tc>
          <w:tcPr>
            <w:tcW w:type="dxa" w:w="4200"/>
            <w:tcMar>
              <w:top w:type="dxa" w:w="50"/>
              <w:left w:type="dxa" w:w="90"/>
              <w:bottom w:type="dxa" w:w="50"/>
              <w:right w:type="dxa" w:w="90"/>
            </w:tcMar>
            <w:vAlign w:val="center"/>
          </w:tcPr>
          <w:p>
            <w:pPr>
              <w:spacing w:after="0" w:line="240"/>
            </w:pPr>
            <w:r>
              <w:rPr>
                <w:sz w:val="18"/>
                <w:szCs w:val="18"/>
              </w:rPr>
              <w:t xml:space="preserve">Stop sur 50 titres pour une position de 52.</w:t>
            </w:r>
          </w:p>
        </w:tc>
        <w:tc>
          <w:tcPr>
            <w:tcW w:type="dxa" w:w="4538"/>
            <w:tcMar>
              <w:top w:type="dxa" w:w="50"/>
              <w:left w:type="dxa" w:w="90"/>
              <w:bottom w:type="dxa" w:w="50"/>
              <w:right w:type="dxa" w:w="90"/>
            </w:tcMar>
            <w:vAlign w:val="center"/>
          </w:tcPr>
          <w:p>
            <w:pPr>
              <w:spacing w:after="0" w:line="240"/>
            </w:pPr>
            <w:r>
              <w:rPr>
                <w:sz w:val="18"/>
                <w:szCs w:val="18"/>
              </w:rPr>
              <w:t xml:space="preserve">Alerte « 2 titres non protégés ».</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REC-04</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Limite et stop sur la même quantité sans OCO.</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Alerte de double exécution potentielle.</w:t>
            </w:r>
          </w:p>
        </w:tc>
      </w:tr>
      <w:tr>
        <w:tc>
          <w:tcPr>
            <w:tcW w:type="dxa" w:w="900"/>
            <w:tcMar>
              <w:top w:type="dxa" w:w="50"/>
              <w:left w:type="dxa" w:w="90"/>
              <w:bottom w:type="dxa" w:w="50"/>
              <w:right w:type="dxa" w:w="90"/>
            </w:tcMar>
            <w:vAlign w:val="center"/>
          </w:tcPr>
          <w:p>
            <w:pPr>
              <w:spacing w:after="0" w:line="240"/>
            </w:pPr>
            <w:r>
              <w:rPr>
                <w:sz w:val="18"/>
                <w:szCs w:val="18"/>
              </w:rPr>
              <w:t xml:space="preserve">REC-05</w:t>
            </w:r>
          </w:p>
        </w:tc>
        <w:tc>
          <w:tcPr>
            <w:tcW w:type="dxa" w:w="4200"/>
            <w:tcMar>
              <w:top w:type="dxa" w:w="50"/>
              <w:left w:type="dxa" w:w="90"/>
              <w:bottom w:type="dxa" w:w="50"/>
              <w:right w:type="dxa" w:w="90"/>
            </w:tcMar>
            <w:vAlign w:val="center"/>
          </w:tcPr>
          <w:p>
            <w:pPr>
              <w:spacing w:after="0" w:line="240"/>
            </w:pPr>
            <w:r>
              <w:rPr>
                <w:sz w:val="18"/>
                <w:szCs w:val="18"/>
              </w:rPr>
              <w:t xml:space="preserve">Achat réel supérieur à la quantité recommandée.</w:t>
            </w:r>
          </w:p>
        </w:tc>
        <w:tc>
          <w:tcPr>
            <w:tcW w:type="dxa" w:w="4538"/>
            <w:tcMar>
              <w:top w:type="dxa" w:w="50"/>
              <w:left w:type="dxa" w:w="90"/>
              <w:bottom w:type="dxa" w:w="50"/>
              <w:right w:type="dxa" w:w="90"/>
            </w:tcMar>
            <w:vAlign w:val="center"/>
          </w:tcPr>
          <w:p>
            <w:pPr>
              <w:spacing w:after="0" w:line="240"/>
            </w:pPr>
            <w:r>
              <w:rPr>
                <w:sz w:val="18"/>
                <w:szCs w:val="18"/>
              </w:rPr>
              <w:t xml:space="preserve">Risque recalculé, divergence historisée.</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REC-06</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Achat sur CTO alors que le PEA était recommandé.</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Compte réel conservé, impact fiscal signalé.</w:t>
            </w:r>
          </w:p>
        </w:tc>
      </w:tr>
      <w:tr>
        <w:tc>
          <w:tcPr>
            <w:tcW w:type="dxa" w:w="900"/>
            <w:tcMar>
              <w:top w:type="dxa" w:w="50"/>
              <w:left w:type="dxa" w:w="90"/>
              <w:bottom w:type="dxa" w:w="50"/>
              <w:right w:type="dxa" w:w="90"/>
            </w:tcMar>
            <w:vAlign w:val="center"/>
          </w:tcPr>
          <w:p>
            <w:pPr>
              <w:spacing w:after="0" w:line="240"/>
            </w:pPr>
            <w:r>
              <w:rPr>
                <w:sz w:val="18"/>
                <w:szCs w:val="18"/>
              </w:rPr>
              <w:t xml:space="preserve">REC-07</w:t>
            </w:r>
          </w:p>
        </w:tc>
        <w:tc>
          <w:tcPr>
            <w:tcW w:type="dxa" w:w="4200"/>
            <w:tcMar>
              <w:top w:type="dxa" w:w="50"/>
              <w:left w:type="dxa" w:w="90"/>
              <w:bottom w:type="dxa" w:w="50"/>
              <w:right w:type="dxa" w:w="90"/>
            </w:tcMar>
            <w:vAlign w:val="center"/>
          </w:tcPr>
          <w:p>
            <w:pPr>
              <w:spacing w:after="0" w:line="240"/>
            </w:pPr>
            <w:r>
              <w:rPr>
                <w:sz w:val="18"/>
                <w:szCs w:val="18"/>
              </w:rPr>
              <w:t xml:space="preserve">Recommandation publiée avec cours différé.</w:t>
            </w:r>
          </w:p>
        </w:tc>
        <w:tc>
          <w:tcPr>
            <w:tcW w:type="dxa" w:w="4538"/>
            <w:tcMar>
              <w:top w:type="dxa" w:w="50"/>
              <w:left w:type="dxa" w:w="90"/>
              <w:bottom w:type="dxa" w:w="50"/>
              <w:right w:type="dxa" w:w="90"/>
            </w:tcMar>
            <w:vAlign w:val="center"/>
          </w:tcPr>
          <w:p>
            <w:pPr>
              <w:spacing w:after="0" w:line="240"/>
            </w:pPr>
            <w:r>
              <w:rPr>
                <w:sz w:val="18"/>
                <w:szCs w:val="18"/>
              </w:rPr>
              <w:t xml:space="preserve">Étiquette « différé », source et heure obligatoires.</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REC-08</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Scénario avec risque &gt; budget du grade.</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Avertissement bloquant ou approbation explicite.</w:t>
            </w:r>
          </w:p>
        </w:tc>
      </w:tr>
      <w:tr>
        <w:tc>
          <w:tcPr>
            <w:tcW w:type="dxa" w:w="900"/>
            <w:tcMar>
              <w:top w:type="dxa" w:w="50"/>
              <w:left w:type="dxa" w:w="90"/>
              <w:bottom w:type="dxa" w:w="50"/>
              <w:right w:type="dxa" w:w="90"/>
            </w:tcMar>
            <w:vAlign w:val="center"/>
          </w:tcPr>
          <w:p>
            <w:pPr>
              <w:spacing w:after="0" w:line="240"/>
            </w:pPr>
            <w:r>
              <w:rPr>
                <w:sz w:val="18"/>
                <w:szCs w:val="18"/>
              </w:rPr>
              <w:t xml:space="preserve">REC-09</w:t>
            </w:r>
          </w:p>
        </w:tc>
        <w:tc>
          <w:tcPr>
            <w:tcW w:type="dxa" w:w="4200"/>
            <w:tcMar>
              <w:top w:type="dxa" w:w="50"/>
              <w:left w:type="dxa" w:w="90"/>
              <w:bottom w:type="dxa" w:w="50"/>
              <w:right w:type="dxa" w:w="90"/>
            </w:tcMar>
            <w:vAlign w:val="center"/>
          </w:tcPr>
          <w:p>
            <w:pPr>
              <w:spacing w:after="0" w:line="240"/>
            </w:pPr>
            <w:r>
              <w:rPr>
                <w:sz w:val="18"/>
                <w:szCs w:val="18"/>
              </w:rPr>
              <w:t xml:space="preserve">Liquidation SRD à moins de 10 jours.</w:t>
            </w:r>
          </w:p>
        </w:tc>
        <w:tc>
          <w:tcPr>
            <w:tcW w:type="dxa" w:w="4538"/>
            <w:tcMar>
              <w:top w:type="dxa" w:w="50"/>
              <w:left w:type="dxa" w:w="90"/>
              <w:bottom w:type="dxa" w:w="50"/>
              <w:right w:type="dxa" w:w="90"/>
            </w:tcMar>
            <w:vAlign w:val="center"/>
          </w:tcPr>
          <w:p>
            <w:pPr>
              <w:spacing w:after="0" w:line="240"/>
            </w:pPr>
            <w:r>
              <w:rPr>
                <w:sz w:val="18"/>
                <w:szCs w:val="18"/>
              </w:rPr>
              <w:t xml:space="preserve">Alerte critique et décision CLOSE/ROLL/REDUCE requise.</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REC-10</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Règle stratégique modifiée.</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Nouvelle version créée ; historique inchangé.</w:t>
            </w:r>
          </w:p>
        </w:tc>
      </w:tr>
      <w:tr>
        <w:tc>
          <w:tcPr>
            <w:tcW w:type="dxa" w:w="900"/>
            <w:tcMar>
              <w:top w:type="dxa" w:w="50"/>
              <w:left w:type="dxa" w:w="90"/>
              <w:bottom w:type="dxa" w:w="50"/>
              <w:right w:type="dxa" w:w="90"/>
            </w:tcMar>
            <w:vAlign w:val="center"/>
          </w:tcPr>
          <w:p>
            <w:pPr>
              <w:spacing w:after="0" w:line="240"/>
            </w:pPr>
            <w:r>
              <w:rPr>
                <w:sz w:val="18"/>
                <w:szCs w:val="18"/>
              </w:rPr>
              <w:t xml:space="preserve">REC-11</w:t>
            </w:r>
          </w:p>
        </w:tc>
        <w:tc>
          <w:tcPr>
            <w:tcW w:type="dxa" w:w="4200"/>
            <w:tcMar>
              <w:top w:type="dxa" w:w="50"/>
              <w:left w:type="dxa" w:w="90"/>
              <w:bottom w:type="dxa" w:w="50"/>
              <w:right w:type="dxa" w:w="90"/>
            </w:tcMar>
            <w:vAlign w:val="center"/>
          </w:tcPr>
          <w:p>
            <w:pPr>
              <w:spacing w:after="0" w:line="240"/>
            </w:pPr>
            <w:r>
              <w:rPr>
                <w:sz w:val="18"/>
                <w:szCs w:val="18"/>
              </w:rPr>
              <w:t xml:space="preserve">Restauration d’une sauvegarde.</w:t>
            </w:r>
          </w:p>
        </w:tc>
        <w:tc>
          <w:tcPr>
            <w:tcW w:type="dxa" w:w="4538"/>
            <w:tcMar>
              <w:top w:type="dxa" w:w="50"/>
              <w:left w:type="dxa" w:w="90"/>
              <w:bottom w:type="dxa" w:w="50"/>
              <w:right w:type="dxa" w:w="90"/>
            </w:tcMar>
            <w:vAlign w:val="center"/>
          </w:tcPr>
          <w:p>
            <w:pPr>
              <w:spacing w:after="0" w:line="240"/>
            </w:pPr>
            <w:r>
              <w:rPr>
                <w:sz w:val="18"/>
                <w:szCs w:val="18"/>
              </w:rPr>
              <w:t xml:space="preserve">Comptes, transactions, documents et audit restaurés sans écart.</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REC-20</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Import de l’archive Claude multi-projets.</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Seul « Investissement Bourse » est importé ; aucune donnée des autres projets.</w:t>
            </w:r>
          </w:p>
        </w:tc>
      </w:tr>
      <w:tr>
        <w:tc>
          <w:tcPr>
            <w:tcW w:type="dxa" w:w="900"/>
            <w:tcMar>
              <w:top w:type="dxa" w:w="50"/>
              <w:left w:type="dxa" w:w="90"/>
              <w:bottom w:type="dxa" w:w="50"/>
              <w:right w:type="dxa" w:w="90"/>
            </w:tcMar>
            <w:vAlign w:val="center"/>
          </w:tcPr>
          <w:p>
            <w:pPr>
              <w:spacing w:after="0" w:line="240"/>
            </w:pPr>
            <w:r>
              <w:rPr>
                <w:sz w:val="18"/>
                <w:szCs w:val="18"/>
              </w:rPr>
              <w:t xml:space="preserve">REC-21</w:t>
            </w:r>
          </w:p>
        </w:tc>
        <w:tc>
          <w:tcPr>
            <w:tcW w:type="dxa" w:w="4200"/>
            <w:tcMar>
              <w:top w:type="dxa" w:w="50"/>
              <w:left w:type="dxa" w:w="90"/>
              <w:bottom w:type="dxa" w:w="50"/>
              <w:right w:type="dxa" w:w="90"/>
            </w:tcMar>
            <w:vAlign w:val="center"/>
          </w:tcPr>
          <w:p>
            <w:pPr>
              <w:spacing w:after="0" w:line="240"/>
            </w:pPr>
            <w:r>
              <w:rPr>
                <w:sz w:val="18"/>
                <w:szCs w:val="18"/>
              </w:rPr>
              <w:t xml:space="preserve">Setup A, risque 390 €, heat disponible.</w:t>
            </w:r>
          </w:p>
        </w:tc>
        <w:tc>
          <w:tcPr>
            <w:tcW w:type="dxa" w:w="4538"/>
            <w:tcMar>
              <w:top w:type="dxa" w:w="50"/>
              <w:left w:type="dxa" w:w="90"/>
              <w:bottom w:type="dxa" w:w="50"/>
              <w:right w:type="dxa" w:w="90"/>
            </w:tcMar>
            <w:vAlign w:val="center"/>
          </w:tcPr>
          <w:p>
            <w:pPr>
              <w:spacing w:after="0" w:line="240"/>
            </w:pPr>
            <w:r>
              <w:rPr>
                <w:sz w:val="18"/>
                <w:szCs w:val="18"/>
              </w:rPr>
              <w:t xml:space="preserve">Autorisé après validation A ; contribution de 390 € au heat.</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REC-22</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Setup B, risque 350 €.</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Avertissement bloquant tant que quantité ou stop non corrigés.</w:t>
            </w:r>
          </w:p>
        </w:tc>
      </w:tr>
      <w:tr>
        <w:tc>
          <w:tcPr>
            <w:tcW w:type="dxa" w:w="900"/>
            <w:tcMar>
              <w:top w:type="dxa" w:w="50"/>
              <w:left w:type="dxa" w:w="90"/>
              <w:bottom w:type="dxa" w:w="50"/>
              <w:right w:type="dxa" w:w="90"/>
            </w:tcMar>
            <w:vAlign w:val="center"/>
          </w:tcPr>
          <w:p>
            <w:pPr>
              <w:spacing w:after="0" w:line="240"/>
            </w:pPr>
            <w:r>
              <w:rPr>
                <w:sz w:val="18"/>
                <w:szCs w:val="18"/>
              </w:rPr>
              <w:t xml:space="preserve">REC-23</w:t>
            </w:r>
          </w:p>
        </w:tc>
        <w:tc>
          <w:tcPr>
            <w:tcW w:type="dxa" w:w="4200"/>
            <w:tcMar>
              <w:top w:type="dxa" w:w="50"/>
              <w:left w:type="dxa" w:w="90"/>
              <w:bottom w:type="dxa" w:w="50"/>
              <w:right w:type="dxa" w:w="90"/>
            </w:tcMar>
            <w:vAlign w:val="center"/>
          </w:tcPr>
          <w:p>
            <w:pPr>
              <w:spacing w:after="0" w:line="240"/>
            </w:pPr>
            <w:r>
              <w:rPr>
                <w:sz w:val="18"/>
                <w:szCs w:val="18"/>
              </w:rPr>
              <w:t xml:space="preserve">Heat 1 200 €, plafond 1 400 €, nouveau risque 300 €.</w:t>
            </w:r>
          </w:p>
        </w:tc>
        <w:tc>
          <w:tcPr>
            <w:tcW w:type="dxa" w:w="4538"/>
            <w:tcMar>
              <w:top w:type="dxa" w:w="50"/>
              <w:left w:type="dxa" w:w="90"/>
              <w:bottom w:type="dxa" w:w="50"/>
              <w:right w:type="dxa" w:w="90"/>
            </w:tcMar>
            <w:vAlign w:val="center"/>
          </w:tcPr>
          <w:p>
            <w:pPr>
              <w:spacing w:after="0" w:line="240"/>
            </w:pPr>
            <w:r>
              <w:rPr>
                <w:sz w:val="18"/>
                <w:szCs w:val="18"/>
              </w:rPr>
              <w:t xml:space="preserve">Entrée interdite ou réduction suggérée à 200 € maximum.</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REC-24</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Résultat demain, achat SRD proposé.</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Scénario non armable ; risque de gap affiché.</w:t>
            </w:r>
          </w:p>
        </w:tc>
      </w:tr>
      <w:tr>
        <w:tc>
          <w:tcPr>
            <w:tcW w:type="dxa" w:w="900"/>
            <w:tcMar>
              <w:top w:type="dxa" w:w="50"/>
              <w:left w:type="dxa" w:w="90"/>
              <w:bottom w:type="dxa" w:w="50"/>
              <w:right w:type="dxa" w:w="90"/>
            </w:tcMar>
            <w:vAlign w:val="center"/>
          </w:tcPr>
          <w:p>
            <w:pPr>
              <w:spacing w:after="0" w:line="240"/>
            </w:pPr>
            <w:r>
              <w:rPr>
                <w:sz w:val="18"/>
                <w:szCs w:val="18"/>
              </w:rPr>
              <w:t xml:space="preserve">REC-25</w:t>
            </w:r>
          </w:p>
        </w:tc>
        <w:tc>
          <w:tcPr>
            <w:tcW w:type="dxa" w:w="4200"/>
            <w:tcMar>
              <w:top w:type="dxa" w:w="50"/>
              <w:left w:type="dxa" w:w="90"/>
              <w:bottom w:type="dxa" w:w="50"/>
              <w:right w:type="dxa" w:w="90"/>
            </w:tcMar>
            <w:vAlign w:val="center"/>
          </w:tcPr>
          <w:p>
            <w:pPr>
              <w:spacing w:after="0" w:line="240"/>
            </w:pPr>
            <w:r>
              <w:rPr>
                <w:sz w:val="18"/>
                <w:szCs w:val="18"/>
              </w:rPr>
              <w:t xml:space="preserve">FOMC en fenêtre no-go avec SRD ouvert.</w:t>
            </w:r>
          </w:p>
        </w:tc>
        <w:tc>
          <w:tcPr>
            <w:tcW w:type="dxa" w:w="4538"/>
            <w:tcMar>
              <w:top w:type="dxa" w:w="50"/>
              <w:left w:type="dxa" w:w="90"/>
              <w:bottom w:type="dxa" w:w="50"/>
              <w:right w:type="dxa" w:w="90"/>
            </w:tcMar>
            <w:vAlign w:val="center"/>
          </w:tcPr>
          <w:p>
            <w:pPr>
              <w:spacing w:after="0" w:line="240"/>
            </w:pPr>
            <w:r>
              <w:rPr>
                <w:sz w:val="18"/>
                <w:szCs w:val="18"/>
              </w:rPr>
              <w:t xml:space="preserve">Alerte critique et ordre potentiel de clôture manuelle.</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REC-26</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Cours atteint +1R.</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Renfort 50 % proposé, stop au point mort, heat recalculé.</w:t>
            </w:r>
          </w:p>
        </w:tc>
      </w:tr>
      <w:tr>
        <w:tc>
          <w:tcPr>
            <w:tcW w:type="dxa" w:w="900"/>
            <w:tcMar>
              <w:top w:type="dxa" w:w="50"/>
              <w:left w:type="dxa" w:w="90"/>
              <w:bottom w:type="dxa" w:w="50"/>
              <w:right w:type="dxa" w:w="90"/>
            </w:tcMar>
            <w:vAlign w:val="center"/>
          </w:tcPr>
          <w:p>
            <w:pPr>
              <w:spacing w:after="0" w:line="240"/>
            </w:pPr>
            <w:r>
              <w:rPr>
                <w:sz w:val="18"/>
                <w:szCs w:val="18"/>
              </w:rPr>
              <w:t xml:space="preserve">REC-27</w:t>
            </w:r>
          </w:p>
        </w:tc>
        <w:tc>
          <w:tcPr>
            <w:tcW w:type="dxa" w:w="4200"/>
            <w:tcMar>
              <w:top w:type="dxa" w:w="50"/>
              <w:left w:type="dxa" w:w="90"/>
              <w:bottom w:type="dxa" w:w="50"/>
              <w:right w:type="dxa" w:w="90"/>
            </w:tcMar>
            <w:vAlign w:val="center"/>
          </w:tcPr>
          <w:p>
            <w:pPr>
              <w:spacing w:after="0" w:line="240"/>
            </w:pPr>
            <w:r>
              <w:rPr>
                <w:sz w:val="18"/>
                <w:szCs w:val="18"/>
              </w:rPr>
              <w:t xml:space="preserve">Position perdante et demande de renfort.</w:t>
            </w:r>
          </w:p>
        </w:tc>
        <w:tc>
          <w:tcPr>
            <w:tcW w:type="dxa" w:w="4538"/>
            <w:tcMar>
              <w:top w:type="dxa" w:w="50"/>
              <w:left w:type="dxa" w:w="90"/>
              <w:bottom w:type="dxa" w:w="50"/>
              <w:right w:type="dxa" w:w="90"/>
            </w:tcMar>
            <w:vAlign w:val="center"/>
          </w:tcPr>
          <w:p>
            <w:pPr>
              <w:spacing w:after="0" w:line="240"/>
            </w:pPr>
            <w:r>
              <w:rPr>
                <w:sz w:val="18"/>
                <w:szCs w:val="18"/>
              </w:rPr>
              <w:t xml:space="preserve">Refus anti-martingale, sauf dérogation explicite.</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REC-28</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Achat prévu PEA exécuté CTO après bug.</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Exécution conservée, incident journalisé, impact fiscal/frais calculé.</w:t>
            </w:r>
          </w:p>
        </w:tc>
      </w:tr>
      <w:tr>
        <w:tc>
          <w:tcPr>
            <w:tcW w:type="dxa" w:w="900"/>
            <w:tcMar>
              <w:top w:type="dxa" w:w="50"/>
              <w:left w:type="dxa" w:w="90"/>
              <w:bottom w:type="dxa" w:w="50"/>
              <w:right w:type="dxa" w:w="90"/>
            </w:tcMar>
            <w:vAlign w:val="center"/>
          </w:tcPr>
          <w:p>
            <w:pPr>
              <w:spacing w:after="0" w:line="240"/>
            </w:pPr>
            <w:r>
              <w:rPr>
                <w:sz w:val="18"/>
                <w:szCs w:val="18"/>
              </w:rPr>
              <w:t xml:space="preserve">REC-29</w:t>
            </w:r>
          </w:p>
        </w:tc>
        <w:tc>
          <w:tcPr>
            <w:tcW w:type="dxa" w:w="4200"/>
            <w:tcMar>
              <w:top w:type="dxa" w:w="50"/>
              <w:left w:type="dxa" w:w="90"/>
              <w:bottom w:type="dxa" w:w="50"/>
              <w:right w:type="dxa" w:w="90"/>
            </w:tcMar>
            <w:vAlign w:val="center"/>
          </w:tcPr>
          <w:p>
            <w:pPr>
              <w:spacing w:after="0" w:line="240"/>
            </w:pPr>
            <w:r>
              <w:rPr>
                <w:sz w:val="18"/>
                <w:szCs w:val="18"/>
              </w:rPr>
              <w:t xml:space="preserve">ETF World à −15 % confirmé.</w:t>
            </w:r>
          </w:p>
        </w:tc>
        <w:tc>
          <w:tcPr>
            <w:tcW w:type="dxa" w:w="4538"/>
            <w:tcMar>
              <w:top w:type="dxa" w:w="50"/>
              <w:left w:type="dxa" w:w="90"/>
              <w:bottom w:type="dxa" w:w="50"/>
              <w:right w:type="dxa" w:w="90"/>
            </w:tcMar>
            <w:vAlign w:val="center"/>
          </w:tcPr>
          <w:p>
            <w:pPr>
              <w:spacing w:after="0" w:line="240"/>
            </w:pPr>
            <w:r>
              <w:rPr>
                <w:sz w:val="18"/>
                <w:szCs w:val="18"/>
              </w:rPr>
              <w:t xml:space="preserve">Deux prochaines échéances DCA doublées ; rien de rétroactif.</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REC-30</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Ordre stop vendeur après vente totale.</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Alerte critique « ordre orphelin ».</w:t>
            </w:r>
          </w:p>
        </w:tc>
      </w:tr>
      <w:tr>
        <w:tc>
          <w:tcPr>
            <w:tcW w:type="dxa" w:w="900"/>
            <w:tcMar>
              <w:top w:type="dxa" w:w="50"/>
              <w:left w:type="dxa" w:w="90"/>
              <w:bottom w:type="dxa" w:w="50"/>
              <w:right w:type="dxa" w:w="90"/>
            </w:tcMar>
            <w:vAlign w:val="center"/>
          </w:tcPr>
          <w:p>
            <w:pPr>
              <w:spacing w:after="0" w:line="240"/>
            </w:pPr>
            <w:r>
              <w:rPr>
                <w:sz w:val="18"/>
                <w:szCs w:val="18"/>
              </w:rPr>
              <w:t xml:space="preserve">REC-31</w:t>
            </w:r>
          </w:p>
        </w:tc>
        <w:tc>
          <w:tcPr>
            <w:tcW w:type="dxa" w:w="4200"/>
            <w:tcMar>
              <w:top w:type="dxa" w:w="50"/>
              <w:left w:type="dxa" w:w="90"/>
              <w:bottom w:type="dxa" w:w="50"/>
              <w:right w:type="dxa" w:w="90"/>
            </w:tcMar>
            <w:vAlign w:val="center"/>
          </w:tcPr>
          <w:p>
            <w:pPr>
              <w:spacing w:after="0" w:line="240"/>
            </w:pPr>
            <w:r>
              <w:rPr>
                <w:sz w:val="18"/>
                <w:szCs w:val="18"/>
              </w:rPr>
              <w:t xml:space="preserve">Limite et stop non liés en OCO.</w:t>
            </w:r>
          </w:p>
        </w:tc>
        <w:tc>
          <w:tcPr>
            <w:tcW w:type="dxa" w:w="4538"/>
            <w:tcMar>
              <w:top w:type="dxa" w:w="50"/>
              <w:left w:type="dxa" w:w="90"/>
              <w:bottom w:type="dxa" w:w="50"/>
              <w:right w:type="dxa" w:w="90"/>
            </w:tcMar>
            <w:vAlign w:val="center"/>
          </w:tcPr>
          <w:p>
            <w:pPr>
              <w:spacing w:after="0" w:line="240"/>
            </w:pPr>
            <w:r>
              <w:rPr>
                <w:sz w:val="18"/>
                <w:szCs w:val="18"/>
              </w:rPr>
              <w:t xml:space="preserve">Alerte double exécution et instruction de liaison/annulation.</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REC-32</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Phase 1 sans n8n installé.</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Session complète possible : imports manuels, portefeuille, rapport.</w:t>
            </w:r>
          </w:p>
        </w:tc>
      </w:tr>
      <w:tr>
        <w:tc>
          <w:tcPr>
            <w:tcW w:type="dxa" w:w="900"/>
            <w:tcMar>
              <w:top w:type="dxa" w:w="50"/>
              <w:left w:type="dxa" w:w="90"/>
              <w:bottom w:type="dxa" w:w="50"/>
              <w:right w:type="dxa" w:w="90"/>
            </w:tcMar>
            <w:vAlign w:val="center"/>
          </w:tcPr>
          <w:p>
            <w:pPr>
              <w:spacing w:after="0" w:line="240"/>
            </w:pPr>
            <w:r>
              <w:rPr>
                <w:sz w:val="18"/>
                <w:szCs w:val="18"/>
              </w:rPr>
              <w:t xml:space="preserve">REC-33</w:t>
            </w:r>
          </w:p>
        </w:tc>
        <w:tc>
          <w:tcPr>
            <w:tcW w:type="dxa" w:w="4200"/>
            <w:tcMar>
              <w:top w:type="dxa" w:w="50"/>
              <w:left w:type="dxa" w:w="90"/>
              <w:bottom w:type="dxa" w:w="50"/>
              <w:right w:type="dxa" w:w="90"/>
            </w:tcMar>
            <w:vAlign w:val="center"/>
          </w:tcPr>
          <w:p>
            <w:pPr>
              <w:spacing w:after="0" w:line="240"/>
            </w:pPr>
            <w:r>
              <w:rPr>
                <w:sz w:val="18"/>
                <w:szCs w:val="18"/>
              </w:rPr>
              <w:t xml:space="preserve">Double import manuel du même fichier.</w:t>
            </w:r>
          </w:p>
        </w:tc>
        <w:tc>
          <w:tcPr>
            <w:tcW w:type="dxa" w:w="4538"/>
            <w:tcMar>
              <w:top w:type="dxa" w:w="50"/>
              <w:left w:type="dxa" w:w="90"/>
              <w:bottom w:type="dxa" w:w="50"/>
              <w:right w:type="dxa" w:w="90"/>
            </w:tcMar>
            <w:vAlign w:val="center"/>
          </w:tcPr>
          <w:p>
            <w:pPr>
              <w:spacing w:after="0" w:line="240"/>
            </w:pPr>
            <w:r>
              <w:rPr>
                <w:sz w:val="18"/>
                <w:szCs w:val="18"/>
              </w:rPr>
              <w:t xml:space="preserve">Second import détecté par hash ; aucune duplication.</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REC-34</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Workflow n8n et import manuel sur le même fichier.</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Une seule importation métier ; les deux tentatives tracées.</w:t>
            </w:r>
          </w:p>
        </w:tc>
      </w:tr>
      <w:tr>
        <w:tc>
          <w:tcPr>
            <w:tcW w:type="dxa" w:w="900"/>
            <w:tcMar>
              <w:top w:type="dxa" w:w="50"/>
              <w:left w:type="dxa" w:w="90"/>
              <w:bottom w:type="dxa" w:w="50"/>
              <w:right w:type="dxa" w:w="90"/>
            </w:tcMar>
            <w:vAlign w:val="center"/>
          </w:tcPr>
          <w:p>
            <w:pPr>
              <w:spacing w:after="0" w:line="240"/>
            </w:pPr>
            <w:r>
              <w:rPr>
                <w:sz w:val="18"/>
                <w:szCs w:val="18"/>
              </w:rPr>
              <w:t xml:space="preserve">REC-35</w:t>
            </w:r>
          </w:p>
        </w:tc>
        <w:tc>
          <w:tcPr>
            <w:tcW w:type="dxa" w:w="4200"/>
            <w:tcMar>
              <w:top w:type="dxa" w:w="50"/>
              <w:left w:type="dxa" w:w="90"/>
              <w:bottom w:type="dxa" w:w="50"/>
              <w:right w:type="dxa" w:w="90"/>
            </w:tcMar>
            <w:vAlign w:val="center"/>
          </w:tcPr>
          <w:p>
            <w:pPr>
              <w:spacing w:after="0" w:line="240"/>
            </w:pPr>
            <w:r>
              <w:rPr>
                <w:sz w:val="18"/>
                <w:szCs w:val="18"/>
              </w:rPr>
              <w:t xml:space="preserve">Arrêt de n8n pendant une session.</w:t>
            </w:r>
          </w:p>
        </w:tc>
        <w:tc>
          <w:tcPr>
            <w:tcW w:type="dxa" w:w="4538"/>
            <w:tcMar>
              <w:top w:type="dxa" w:w="50"/>
              <w:left w:type="dxa" w:w="90"/>
              <w:bottom w:type="dxa" w:w="50"/>
              <w:right w:type="dxa" w:w="90"/>
            </w:tcMar>
            <w:vAlign w:val="center"/>
          </w:tcPr>
          <w:p>
            <w:pPr>
              <w:spacing w:after="0" w:line="240"/>
            </w:pPr>
            <w:r>
              <w:rPr>
                <w:sz w:val="18"/>
                <w:szCs w:val="18"/>
              </w:rPr>
              <w:t xml:space="preserve">Mode manuel disponible ; la reprise du job ne duplique rien.</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REC-36</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Résultat automatique comparé au manuel.</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Positions, P/L, KPI et alertes identiques dans la tolérance.</w:t>
            </w:r>
          </w:p>
        </w:tc>
      </w:tr>
      <w:tr>
        <w:tc>
          <w:tcPr>
            <w:tcW w:type="dxa" w:w="900"/>
            <w:tcMar>
              <w:top w:type="dxa" w:w="50"/>
              <w:left w:type="dxa" w:w="90"/>
              <w:bottom w:type="dxa" w:w="50"/>
              <w:right w:type="dxa" w:w="90"/>
            </w:tcMar>
            <w:vAlign w:val="center"/>
          </w:tcPr>
          <w:p>
            <w:pPr>
              <w:spacing w:after="0" w:line="240"/>
            </w:pPr>
            <w:r>
              <w:rPr>
                <w:sz w:val="18"/>
                <w:szCs w:val="18"/>
              </w:rPr>
              <w:t xml:space="preserve">REC-40</w:t>
            </w:r>
          </w:p>
        </w:tc>
        <w:tc>
          <w:tcPr>
            <w:tcW w:type="dxa" w:w="4200"/>
            <w:tcMar>
              <w:top w:type="dxa" w:w="50"/>
              <w:left w:type="dxa" w:w="90"/>
              <w:bottom w:type="dxa" w:w="50"/>
              <w:right w:type="dxa" w:w="90"/>
            </w:tcMar>
            <w:vAlign w:val="center"/>
          </w:tcPr>
          <w:p>
            <w:pPr>
              <w:spacing w:after="0" w:line="240"/>
            </w:pPr>
            <w:r>
              <w:rPr>
                <w:sz w:val="18"/>
                <w:szCs w:val="18"/>
              </w:rPr>
              <w:t xml:space="preserve">Achat d’une action américaine proposé sur le PEA.</w:t>
            </w:r>
          </w:p>
        </w:tc>
        <w:tc>
          <w:tcPr>
            <w:tcW w:type="dxa" w:w="4538"/>
            <w:tcMar>
              <w:top w:type="dxa" w:w="50"/>
              <w:left w:type="dxa" w:w="90"/>
              <w:bottom w:type="dxa" w:w="50"/>
              <w:right w:type="dxa" w:w="90"/>
            </w:tcMar>
            <w:vAlign w:val="center"/>
          </w:tcPr>
          <w:p>
            <w:pPr>
              <w:spacing w:after="0" w:line="240"/>
            </w:pPr>
            <w:r>
              <w:rPr>
                <w:sz w:val="18"/>
                <w:szCs w:val="18"/>
              </w:rPr>
              <w:t xml:space="preserve">Ordre bloqué, redirigé vers le CTO, motif d’inéligibilité affiché et historisé.</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REC-41</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Position en USD : titre +3 %, USD −5 %.</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P/L titre positif et P/L change négatif affichés séparément ; identité pl_titre + pl_change = pl_total vérifiée ; heat recalculé en EUR.</w:t>
            </w:r>
          </w:p>
        </w:tc>
      </w:tr>
      <w:tr>
        <w:tc>
          <w:tcPr>
            <w:tcW w:type="dxa" w:w="900"/>
            <w:tcMar>
              <w:top w:type="dxa" w:w="50"/>
              <w:left w:type="dxa" w:w="90"/>
              <w:bottom w:type="dxa" w:w="50"/>
              <w:right w:type="dxa" w:w="90"/>
            </w:tcMar>
            <w:vAlign w:val="center"/>
          </w:tcPr>
          <w:p>
            <w:pPr>
              <w:spacing w:after="0" w:line="240"/>
            </w:pPr>
            <w:r>
              <w:rPr>
                <w:sz w:val="18"/>
                <w:szCs w:val="18"/>
              </w:rPr>
              <w:t xml:space="preserve">REC-42</w:t>
            </w:r>
          </w:p>
        </w:tc>
        <w:tc>
          <w:tcPr>
            <w:tcW w:type="dxa" w:w="4200"/>
            <w:tcMar>
              <w:top w:type="dxa" w:w="50"/>
              <w:left w:type="dxa" w:w="90"/>
              <w:bottom w:type="dxa" w:w="50"/>
              <w:right w:type="dxa" w:w="90"/>
            </w:tcMar>
            <w:vAlign w:val="center"/>
          </w:tcPr>
          <w:p>
            <w:pPr>
              <w:spacing w:after="0" w:line="240"/>
            </w:pPr>
            <w:r>
              <w:rPr>
                <w:sz w:val="18"/>
                <w:szCs w:val="18"/>
              </w:rPr>
              <w:t xml:space="preserve">Instrument coté à Paris et à Amsterdam.</w:t>
            </w:r>
          </w:p>
        </w:tc>
        <w:tc>
          <w:tcPr>
            <w:tcW w:type="dxa" w:w="4538"/>
            <w:tcMar>
              <w:top w:type="dxa" w:w="50"/>
              <w:left w:type="dxa" w:w="90"/>
              <w:bottom w:type="dxa" w:w="50"/>
              <w:right w:type="dxa" w:w="90"/>
            </w:tcMar>
            <w:vAlign w:val="center"/>
          </w:tcPr>
          <w:p>
            <w:pPr>
              <w:spacing w:after="0" w:line="240"/>
            </w:pPr>
            <w:r>
              <w:rPr>
                <w:sz w:val="18"/>
                <w:szCs w:val="18"/>
              </w:rPr>
              <w:t xml:space="preserve">Une seule position, valorisée sur la place de référence ; aucune ligne dupliquée.</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REC-43</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Thanksgiving : Nasdaq fermé, Euronext ouvert.</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Absence de cotation US traitée comme légitime, aucune anomalie, aucun report de la veille ; demi-séance du lendemain gérée.</w:t>
            </w:r>
          </w:p>
        </w:tc>
      </w:tr>
      <w:tr>
        <w:tc>
          <w:tcPr>
            <w:tcW w:type="dxa" w:w="900"/>
            <w:tcMar>
              <w:top w:type="dxa" w:w="50"/>
              <w:left w:type="dxa" w:w="90"/>
              <w:bottom w:type="dxa" w:w="50"/>
              <w:right w:type="dxa" w:w="90"/>
            </w:tcMar>
            <w:vAlign w:val="center"/>
          </w:tcPr>
          <w:p>
            <w:pPr>
              <w:spacing w:after="0" w:line="240"/>
            </w:pPr>
            <w:r>
              <w:rPr>
                <w:sz w:val="18"/>
                <w:szCs w:val="18"/>
              </w:rPr>
              <w:t xml:space="preserve">REC-44</w:t>
            </w:r>
          </w:p>
        </w:tc>
        <w:tc>
          <w:tcPr>
            <w:tcW w:type="dxa" w:w="4200"/>
            <w:tcMar>
              <w:top w:type="dxa" w:w="50"/>
              <w:left w:type="dxa" w:w="90"/>
              <w:bottom w:type="dxa" w:w="50"/>
              <w:right w:type="dxa" w:w="90"/>
            </w:tcMar>
            <w:vAlign w:val="center"/>
          </w:tcPr>
          <w:p>
            <w:pPr>
              <w:spacing w:after="0" w:line="240"/>
            </w:pPr>
            <w:r>
              <w:rPr>
                <w:sz w:val="18"/>
                <w:szCs w:val="18"/>
              </w:rPr>
              <w:t xml:space="preserve">Décision Fed pendant la fenêtre de désynchronisation de mars.</w:t>
            </w:r>
          </w:p>
        </w:tc>
        <w:tc>
          <w:tcPr>
            <w:tcW w:type="dxa" w:w="4538"/>
            <w:tcMar>
              <w:top w:type="dxa" w:w="50"/>
              <w:left w:type="dxa" w:w="90"/>
              <w:bottom w:type="dxa" w:w="50"/>
              <w:right w:type="dxa" w:w="90"/>
            </w:tcMar>
            <w:vAlign w:val="center"/>
          </w:tcPr>
          <w:p>
            <w:pPr>
              <w:spacing w:after="0" w:line="240"/>
            </w:pPr>
            <w:r>
              <w:rPr>
                <w:sz w:val="18"/>
                <w:szCs w:val="18"/>
              </w:rPr>
              <w:t xml:space="preserve">L’intervalle no-go se cale sur l’ouverture réelle (14h30 Paris) et non sur une heure codée en dur.</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REC-45</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SRD demandé sur une valeur allemande.</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Refus motivé : levier limité à Euronext Paris ; aucune dérogation possible.</w:t>
            </w:r>
          </w:p>
        </w:tc>
      </w:tr>
      <w:tr>
        <w:tc>
          <w:tcPr>
            <w:tcW w:type="dxa" w:w="900"/>
            <w:tcMar>
              <w:top w:type="dxa" w:w="50"/>
              <w:left w:type="dxa" w:w="90"/>
              <w:bottom w:type="dxa" w:w="50"/>
              <w:right w:type="dxa" w:w="90"/>
            </w:tcMar>
            <w:vAlign w:val="center"/>
          </w:tcPr>
          <w:p>
            <w:pPr>
              <w:spacing w:after="0" w:line="240"/>
            </w:pPr>
            <w:r>
              <w:rPr>
                <w:sz w:val="18"/>
                <w:szCs w:val="18"/>
              </w:rPr>
              <w:t xml:space="preserve">REC-46</w:t>
            </w:r>
          </w:p>
        </w:tc>
        <w:tc>
          <w:tcPr>
            <w:tcW w:type="dxa" w:w="4200"/>
            <w:tcMar>
              <w:top w:type="dxa" w:w="50"/>
              <w:left w:type="dxa" w:w="90"/>
              <w:bottom w:type="dxa" w:w="50"/>
              <w:right w:type="dxa" w:w="90"/>
            </w:tcMar>
            <w:vAlign w:val="center"/>
          </w:tcPr>
          <w:p>
            <w:pPr>
              <w:spacing w:after="0" w:line="240"/>
            </w:pPr>
            <w:r>
              <w:rPr>
                <w:sz w:val="18"/>
                <w:szCs w:val="18"/>
              </w:rPr>
              <w:t xml:space="preserve">Dividende Nasdaq encaissé.</w:t>
            </w:r>
          </w:p>
        </w:tc>
        <w:tc>
          <w:tcPr>
            <w:tcW w:type="dxa" w:w="4538"/>
            <w:tcMar>
              <w:top w:type="dxa" w:w="50"/>
              <w:left w:type="dxa" w:w="90"/>
              <w:bottom w:type="dxa" w:w="50"/>
              <w:right w:type="dxa" w:w="90"/>
            </w:tcMar>
            <w:vAlign w:val="center"/>
          </w:tcPr>
          <w:p>
            <w:pPr>
              <w:spacing w:after="0" w:line="240"/>
            </w:pPr>
            <w:r>
              <w:rPr>
                <w:sz w:val="18"/>
                <w:szCs w:val="18"/>
              </w:rPr>
              <w:t xml:space="preserve">Retenue à la source de 15 % estimée, séparée du dividende brut, marquée « estimatif » dans le P/L net.</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REC-47</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Décision Fed et décision BCE la même semaine.</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Deux fenêtres no-go distinctes appliquées aux marchés correspondants, sans blocage global du portefeuille.</w:t>
            </w:r>
          </w:p>
        </w:tc>
      </w:tr>
      <w:tr>
        <w:tc>
          <w:tcPr>
            <w:tcW w:type="dxa" w:w="900"/>
            <w:tcMar>
              <w:top w:type="dxa" w:w="50"/>
              <w:left w:type="dxa" w:w="90"/>
              <w:bottom w:type="dxa" w:w="50"/>
              <w:right w:type="dxa" w:w="90"/>
            </w:tcMar>
            <w:vAlign w:val="center"/>
          </w:tcPr>
          <w:p>
            <w:pPr>
              <w:spacing w:after="0" w:line="240"/>
            </w:pPr>
            <w:r>
              <w:rPr>
                <w:sz w:val="18"/>
                <w:szCs w:val="18"/>
              </w:rPr>
              <w:t xml:space="preserve">REC-48</w:t>
            </w:r>
          </w:p>
        </w:tc>
        <w:tc>
          <w:tcPr>
            <w:tcW w:type="dxa" w:w="4200"/>
            <w:tcMar>
              <w:top w:type="dxa" w:w="50"/>
              <w:left w:type="dxa" w:w="90"/>
              <w:bottom w:type="dxa" w:w="50"/>
              <w:right w:type="dxa" w:w="90"/>
            </w:tcMar>
            <w:vAlign w:val="center"/>
          </w:tcPr>
          <w:p>
            <w:pPr>
              <w:spacing w:after="0" w:line="240"/>
            </w:pPr>
            <w:r>
              <w:rPr>
                <w:sz w:val="18"/>
                <w:szCs w:val="18"/>
              </w:rPr>
              <w:t xml:space="preserve">Titre américain à faible volume quotidien moyen.</w:t>
            </w:r>
          </w:p>
        </w:tc>
        <w:tc>
          <w:tcPr>
            <w:tcW w:type="dxa" w:w="4538"/>
            <w:tcMar>
              <w:top w:type="dxa" w:w="50"/>
              <w:left w:type="dxa" w:w="90"/>
              <w:bottom w:type="dxa" w:w="50"/>
              <w:right w:type="dxa" w:w="90"/>
            </w:tcMar>
            <w:vAlign w:val="center"/>
          </w:tcPr>
          <w:p>
            <w:pPr>
              <w:spacing w:after="0" w:line="240"/>
            </w:pPr>
            <w:r>
              <w:rPr>
                <w:sz w:val="18"/>
                <w:szCs w:val="18"/>
              </w:rPr>
              <w:t xml:space="preserve">Alerte de liquidité et taille plafonnée au pourcentage d’ADV configuré.</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REC-50</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Cours en hausse, creux de consolidation identifiable plus haut que le stop actuel.</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Stop proposé sous le creux avec tampon anti-mèche ; stop actuel jamais abaissé.</w:t>
            </w:r>
          </w:p>
        </w:tc>
      </w:tr>
      <w:tr>
        <w:tc>
          <w:tcPr>
            <w:tcW w:type="dxa" w:w="900"/>
            <w:tcMar>
              <w:top w:type="dxa" w:w="50"/>
              <w:left w:type="dxa" w:w="90"/>
              <w:bottom w:type="dxa" w:w="50"/>
              <w:right w:type="dxa" w:w="90"/>
            </w:tcMar>
            <w:vAlign w:val="center"/>
          </w:tcPr>
          <w:p>
            <w:pPr>
              <w:spacing w:after="0" w:line="240"/>
            </w:pPr>
            <w:r>
              <w:rPr>
                <w:sz w:val="18"/>
                <w:szCs w:val="18"/>
              </w:rPr>
              <w:t xml:space="preserve">REC-51</w:t>
            </w:r>
          </w:p>
        </w:tc>
        <w:tc>
          <w:tcPr>
            <w:tcW w:type="dxa" w:w="4200"/>
            <w:tcMar>
              <w:top w:type="dxa" w:w="50"/>
              <w:left w:type="dxa" w:w="90"/>
              <w:bottom w:type="dxa" w:w="50"/>
              <w:right w:type="dxa" w:w="90"/>
            </w:tcMar>
            <w:vAlign w:val="center"/>
          </w:tcPr>
          <w:p>
            <w:pPr>
              <w:spacing w:after="0" w:line="240"/>
            </w:pPr>
            <w:r>
              <w:rPr>
                <w:sz w:val="18"/>
                <w:szCs w:val="18"/>
              </w:rPr>
              <w:t xml:space="preserve">Cours en baisse après une hausse, sans nouveau creux.</w:t>
            </w:r>
          </w:p>
        </w:tc>
        <w:tc>
          <w:tcPr>
            <w:tcW w:type="dxa" w:w="4538"/>
            <w:tcMar>
              <w:top w:type="dxa" w:w="50"/>
              <w:left w:type="dxa" w:w="90"/>
              <w:bottom w:type="dxa" w:w="50"/>
              <w:right w:type="dxa" w:w="90"/>
            </w:tcMar>
            <w:vAlign w:val="center"/>
          </w:tcPr>
          <w:p>
            <w:pPr>
              <w:spacing w:after="0" w:line="240"/>
            </w:pPr>
            <w:r>
              <w:rPr>
                <w:sz w:val="18"/>
                <w:szCs w:val="18"/>
              </w:rPr>
              <w:t xml:space="preserve">Aucun stop proposé à la baisse ; le stop existant est conservé à l’identique.</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REC-52</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Attribution d’une action gratuite pour vingt détenues.</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Stop ajusté mécaniquement (25,10 → 24,50) sans validation, sans journalisation en « stop abaissé », sans impact sur les indicateurs de discipline.</w:t>
            </w:r>
          </w:p>
        </w:tc>
      </w:tr>
      <w:tr>
        <w:tc>
          <w:tcPr>
            <w:tcW w:type="dxa" w:w="900"/>
            <w:tcMar>
              <w:top w:type="dxa" w:w="50"/>
              <w:left w:type="dxa" w:w="90"/>
              <w:bottom w:type="dxa" w:w="50"/>
              <w:right w:type="dxa" w:w="90"/>
            </w:tcMar>
            <w:vAlign w:val="center"/>
          </w:tcPr>
          <w:p>
            <w:pPr>
              <w:spacing w:after="0" w:line="240"/>
            </w:pPr>
            <w:r>
              <w:rPr>
                <w:sz w:val="18"/>
                <w:szCs w:val="18"/>
              </w:rPr>
              <w:t xml:space="preserve">REC-53</w:t>
            </w:r>
          </w:p>
        </w:tc>
        <w:tc>
          <w:tcPr>
            <w:tcW w:type="dxa" w:w="4200"/>
            <w:tcMar>
              <w:top w:type="dxa" w:w="50"/>
              <w:left w:type="dxa" w:w="90"/>
              <w:bottom w:type="dxa" w:w="50"/>
              <w:right w:type="dxa" w:w="90"/>
            </w:tcMar>
            <w:vAlign w:val="center"/>
          </w:tcPr>
          <w:p>
            <w:pPr>
              <w:spacing w:after="0" w:line="240"/>
            </w:pPr>
            <w:r>
              <w:rPr>
                <w:sz w:val="18"/>
                <w:szCs w:val="18"/>
              </w:rPr>
              <w:t xml:space="preserve">Objectif 1 atteint en clôture.</w:t>
            </w:r>
          </w:p>
        </w:tc>
        <w:tc>
          <w:tcPr>
            <w:tcW w:type="dxa" w:w="4538"/>
            <w:tcMar>
              <w:top w:type="dxa" w:w="50"/>
              <w:left w:type="dxa" w:w="90"/>
              <w:bottom w:type="dxa" w:w="50"/>
              <w:right w:type="dxa" w:w="90"/>
            </w:tcMar>
            <w:vAlign w:val="center"/>
          </w:tcPr>
          <w:p>
            <w:pPr>
              <w:spacing w:after="0" w:line="240"/>
            </w:pPr>
            <w:r>
              <w:rPr>
                <w:sz w:val="18"/>
                <w:szCs w:val="18"/>
              </w:rPr>
              <w:t xml:space="preserve">Stop porté au point mort, allègement d’un tiers proposé et non exécuté, heat de la ligne recalculé à zéro.</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REC-54</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Ligne détenue à score 58, candidat watchlist à score 78, momentum relatif négatif, aucun catalyseur sous 3 séances.</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Rotation proposée sous forme de deux scénarios liés SELL + BUY, validés ou refusés ensemble.</w:t>
            </w:r>
          </w:p>
        </w:tc>
      </w:tr>
      <w:tr>
        <w:tc>
          <w:tcPr>
            <w:tcW w:type="dxa" w:w="900"/>
            <w:tcMar>
              <w:top w:type="dxa" w:w="50"/>
              <w:left w:type="dxa" w:w="90"/>
              <w:bottom w:type="dxa" w:w="50"/>
              <w:right w:type="dxa" w:w="90"/>
            </w:tcMar>
            <w:vAlign w:val="center"/>
          </w:tcPr>
          <w:p>
            <w:pPr>
              <w:spacing w:after="0" w:line="240"/>
            </w:pPr>
            <w:r>
              <w:rPr>
                <w:sz w:val="18"/>
                <w:szCs w:val="18"/>
              </w:rPr>
              <w:t xml:space="preserve">REC-60</w:t>
            </w:r>
          </w:p>
        </w:tc>
        <w:tc>
          <w:tcPr>
            <w:tcW w:type="dxa" w:w="4200"/>
            <w:tcMar>
              <w:top w:type="dxa" w:w="50"/>
              <w:left w:type="dxa" w:w="90"/>
              <w:bottom w:type="dxa" w:w="50"/>
              <w:right w:type="dxa" w:w="90"/>
            </w:tcMar>
            <w:vAlign w:val="center"/>
          </w:tcPr>
          <w:p>
            <w:pPr>
              <w:spacing w:after="0" w:line="240"/>
            </w:pPr>
            <w:r>
              <w:rPr>
                <w:sz w:val="18"/>
                <w:szCs w:val="18"/>
              </w:rPr>
              <w:t xml:space="preserve">Même relèvement d’objectif rapporté par MarketBeat et par Barron’s à deux jours d’intervalle.</w:t>
            </w:r>
          </w:p>
        </w:tc>
        <w:tc>
          <w:tcPr>
            <w:tcW w:type="dxa" w:w="4538"/>
            <w:tcMar>
              <w:top w:type="dxa" w:w="50"/>
              <w:left w:type="dxa" w:w="90"/>
              <w:bottom w:type="dxa" w:w="50"/>
              <w:right w:type="dxa" w:w="90"/>
            </w:tcMar>
            <w:vAlign w:val="center"/>
          </w:tcPr>
          <w:p>
            <w:pPr>
              <w:spacing w:after="0" w:line="240"/>
            </w:pPr>
            <w:r>
              <w:rPr>
                <w:sz w:val="18"/>
                <w:szCs w:val="18"/>
              </w:rPr>
              <w:t xml:space="preserve">Une seule contribution retenue, celle de l’agrégateur ; la seconde est tracée mais ne majore pas le score.</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REC-61</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Valeur américaine notée par IBD et commentée par Barron’s.</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La force relative alimente la composante technique, le commentaire éditorial la composante secteur/macro ; aucun report croisé.</w:t>
            </w:r>
          </w:p>
        </w:tc>
      </w:tr>
      <w:tr>
        <w:tc>
          <w:tcPr>
            <w:tcW w:type="dxa" w:w="900"/>
            <w:tcMar>
              <w:top w:type="dxa" w:w="50"/>
              <w:left w:type="dxa" w:w="90"/>
              <w:bottom w:type="dxa" w:w="50"/>
              <w:right w:type="dxa" w:w="90"/>
            </w:tcMar>
            <w:vAlign w:val="center"/>
          </w:tcPr>
          <w:p>
            <w:pPr>
              <w:spacing w:after="0" w:line="240"/>
            </w:pPr>
            <w:r>
              <w:rPr>
                <w:sz w:val="18"/>
                <w:szCs w:val="18"/>
              </w:rPr>
              <w:t xml:space="preserve">REC-62</w:t>
            </w:r>
          </w:p>
        </w:tc>
        <w:tc>
          <w:tcPr>
            <w:tcW w:type="dxa" w:w="4200"/>
            <w:tcMar>
              <w:top w:type="dxa" w:w="50"/>
              <w:left w:type="dxa" w:w="90"/>
              <w:bottom w:type="dxa" w:w="50"/>
              <w:right w:type="dxa" w:w="90"/>
            </w:tcMar>
            <w:vAlign w:val="center"/>
          </w:tcPr>
          <w:p>
            <w:pPr>
              <w:spacing w:after="0" w:line="240"/>
            </w:pPr>
            <w:r>
              <w:rPr>
                <w:sz w:val="18"/>
                <w:szCs w:val="18"/>
              </w:rPr>
              <w:t xml:space="preserve">Import d’un e-mail BambooSignal.</w:t>
            </w:r>
          </w:p>
        </w:tc>
        <w:tc>
          <w:tcPr>
            <w:tcW w:type="dxa" w:w="4538"/>
            <w:tcMar>
              <w:top w:type="dxa" w:w="50"/>
              <w:left w:type="dxa" w:w="90"/>
              <w:bottom w:type="dxa" w:w="50"/>
              <w:right w:type="dxa" w:w="90"/>
            </w:tcMar>
            <w:vAlign w:val="center"/>
          </w:tcPr>
          <w:p>
            <w:pPr>
              <w:spacing w:after="0" w:line="240"/>
            </w:pPr>
            <w:r>
              <w:rPr>
                <w:sz w:val="18"/>
                <w:szCs w:val="18"/>
              </w:rPr>
              <w:t xml:space="preserve">Source enregistrée avec extrait et date, statut WATCH, contribution au score nulle, aucun scénario armable.</w:t>
            </w:r>
          </w:p>
        </w:tc>
      </w:tr>
      <w:tr>
        <w:tc>
          <w:tcPr>
            <w:tcW w:type="dxa" w:w="900"/>
            <w:shd w:fill="F7F9FC" w:val="clear"/>
            <w:tcMar>
              <w:top w:type="dxa" w:w="50"/>
              <w:left w:type="dxa" w:w="90"/>
              <w:bottom w:type="dxa" w:w="50"/>
              <w:right w:type="dxa" w:w="90"/>
            </w:tcMar>
            <w:vAlign w:val="center"/>
          </w:tcPr>
          <w:p>
            <w:pPr>
              <w:spacing w:after="0" w:line="240"/>
            </w:pPr>
            <w:r>
              <w:rPr>
                <w:sz w:val="18"/>
                <w:szCs w:val="18"/>
              </w:rPr>
              <w:t xml:space="preserve">REC-63</w:t>
            </w:r>
          </w:p>
        </w:tc>
        <w:tc>
          <w:tcPr>
            <w:tcW w:type="dxa" w:w="4200"/>
            <w:shd w:fill="F7F9FC" w:val="clear"/>
            <w:tcMar>
              <w:top w:type="dxa" w:w="50"/>
              <w:left w:type="dxa" w:w="90"/>
              <w:bottom w:type="dxa" w:w="50"/>
              <w:right w:type="dxa" w:w="90"/>
            </w:tcMar>
            <w:vAlign w:val="center"/>
          </w:tcPr>
          <w:p>
            <w:pPr>
              <w:spacing w:after="0" w:line="240"/>
            </w:pPr>
            <w:r>
              <w:rPr>
                <w:sz w:val="18"/>
                <w:szCs w:val="18"/>
              </w:rPr>
              <w:t xml:space="preserve">État de marché IBD en correction, S&amp;P 500 au-dessus du seuil de gate.</w:t>
            </w:r>
          </w:p>
        </w:tc>
        <w:tc>
          <w:tcPr>
            <w:tcW w:type="dxa" w:w="4538"/>
            <w:shd w:fill="F7F9FC" w:val="clear"/>
            <w:tcMar>
              <w:top w:type="dxa" w:w="50"/>
              <w:left w:type="dxa" w:w="90"/>
              <w:bottom w:type="dxa" w:w="50"/>
              <w:right w:type="dxa" w:w="90"/>
            </w:tcMar>
            <w:vAlign w:val="center"/>
          </w:tcPr>
          <w:p>
            <w:pPr>
              <w:spacing w:after="0" w:line="240"/>
            </w:pPr>
            <w:r>
              <w:rPr>
                <w:sz w:val="18"/>
                <w:szCs w:val="18"/>
              </w:rPr>
              <w:t xml:space="preserve">Aucun achat américain armé : le cumul des deux gates est exigé.</w:t>
            </w:r>
          </w:p>
        </w:tc>
      </w:tr>
    </w:tbl>
    <w:p>
      <w:pPr>
        <w:pStyle w:val="Heading2"/>
        <w:spacing w:after="120" w:before="240"/>
      </w:pPr>
      <w:r>
        <w:t xml:space="preserve">14.3 Critères de recette globale</w:t>
      </w:r>
    </w:p>
    <w:p>
      <w:pPr>
        <w:pStyle w:val="ListParagraph"/>
        <w:numPr>
          <w:ilvl w:val="0"/>
          <w:numId w:val="2"/>
        </w:numPr>
        <w:spacing w:after="60" w:line="264"/>
      </w:pPr>
      <w:r>
        <w:t xml:space="preserve">Positions et P/L rapprochés avec les exports courtiers dans la tolérance définie.</w:t>
      </w:r>
    </w:p>
    <w:p>
      <w:pPr>
        <w:pStyle w:val="ListParagraph"/>
        <w:numPr>
          <w:ilvl w:val="0"/>
          <w:numId w:val="2"/>
        </w:numPr>
        <w:spacing w:after="60" w:line="264"/>
      </w:pPr>
      <w:r>
        <w:t xml:space="preserve">Toute recommandation retrouvable avec ses sources et données d’origine.</w:t>
      </w:r>
    </w:p>
    <w:p>
      <w:pPr>
        <w:pStyle w:val="ListParagraph"/>
        <w:numPr>
          <w:ilvl w:val="0"/>
          <w:numId w:val="2"/>
        </w:numPr>
        <w:spacing w:after="60" w:line="264"/>
      </w:pPr>
      <w:r>
        <w:t xml:space="preserve">Le dashboard affiche les alertes critiques avant toute suggestion d’achat.</w:t>
      </w:r>
    </w:p>
    <w:p>
      <w:pPr>
        <w:pStyle w:val="ListParagraph"/>
        <w:numPr>
          <w:ilvl w:val="0"/>
          <w:numId w:val="2"/>
        </w:numPr>
        <w:spacing w:after="60" w:line="264"/>
      </w:pPr>
      <w:r>
        <w:t xml:space="preserve">KPI recalculables sur toute période et tout segment.</w:t>
      </w:r>
    </w:p>
    <w:p>
      <w:pPr>
        <w:pStyle w:val="ListParagraph"/>
        <w:numPr>
          <w:ilvl w:val="0"/>
          <w:numId w:val="2"/>
        </w:numPr>
        <w:spacing w:after="60" w:line="264"/>
      </w:pPr>
      <w:r>
        <w:t xml:space="preserve">Revue mensuelle expliquant les facteurs de gains et de pertes.</w:t>
      </w:r>
    </w:p>
    <w:p>
      <w:pPr>
        <w:pStyle w:val="ListParagraph"/>
        <w:numPr>
          <w:ilvl w:val="0"/>
          <w:numId w:val="2"/>
        </w:numPr>
        <w:spacing w:after="60" w:line="264"/>
      </w:pPr>
      <w:r>
        <w:t xml:space="preserve">Aucune fonction ne transmet un ordre au courtier (vérifié par revue de code et test négatif).</w:t>
      </w:r>
    </w:p>
    <w:p>
      <w:pPr>
        <w:pStyle w:val="ListParagraph"/>
        <w:numPr>
          <w:ilvl w:val="0"/>
          <w:numId w:val="2"/>
        </w:numPr>
        <w:spacing w:after="60" w:line="264"/>
      </w:pPr>
      <w:r>
        <w:t xml:space="preserve">Sauvegarde et restauration documentées et testées.</w:t>
      </w:r>
    </w:p>
    <w:p>
      <w:r>
        <w:br w:type="page"/>
      </w:r>
    </w:p>
    <w:p>
      <w:pPr>
        <w:pStyle w:val="Heading1"/>
        <w:spacing w:after="140" w:before="300"/>
      </w:pPr>
      <w:r>
        <w:t xml:space="preserve">15. Plan de développement en lots (phases 1 et 2)</w:t>
      </w:r>
    </w:p>
    <w:p>
      <w:pPr>
        <w:spacing w:after="100" w:before="0" w:line="264"/>
      </w:pPr>
      <w:r>
        <w:t xml:space="preserve">Chaque lot est dimensionné pour une session Claude Code (une demi-journée au maximum) et livre une tranche verticale utilisable et testée. Si un lot déborde, il est scindé (L05a, L05b…). Chaque lot possède une fiche docs/lots/LXX.md au format de l’annexe F. L’ordre respecte les dépendances ; à l’intérieur d’un même niveau, l’ordre est libre.</w:t>
      </w:r>
    </w:p>
    <w:p>
      <w:pPr>
        <w:pStyle w:val="Heading2"/>
        <w:spacing w:after="120" w:before="240"/>
      </w:pPr>
      <w:r>
        <w:t xml:space="preserve">15.1 Phase 1 — application manuelle complète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200"/>
        <w:gridCol w:w="1300"/>
        <w:gridCol w:w="2438"/>
      </w:tblGrid>
      <w:tr>
        <w:trPr>
          <w:tblHeader/>
        </w:trPr>
        <w:tc>
          <w:tcPr>
            <w:tcW w:type="dxa" w:w="700"/>
            <w:shd w:fill="1F3864" w:val="clear"/>
            <w:tcMar>
              <w:top w:type="dxa" w:w="50"/>
              <w:left w:type="dxa" w:w="90"/>
              <w:bottom w:type="dxa" w:w="50"/>
              <w:right w:type="dxa" w:w="90"/>
            </w:tcMar>
            <w:vAlign w:val="center"/>
          </w:tcPr>
          <w:p>
            <w:pPr>
              <w:spacing w:after="0" w:line="240"/>
            </w:pPr>
            <w:r>
              <w:rPr>
                <w:b/>
                <w:bCs/>
                <w:color w:val="FFFFFF"/>
                <w:sz w:val="18"/>
                <w:szCs w:val="18"/>
              </w:rPr>
              <w:t xml:space="preserve">Lot</w:t>
            </w:r>
          </w:p>
        </w:tc>
        <w:tc>
          <w:tcPr>
            <w:tcW w:type="dxa" w:w="5200"/>
            <w:shd w:fill="1F3864" w:val="clear"/>
            <w:tcMar>
              <w:top w:type="dxa" w:w="50"/>
              <w:left w:type="dxa" w:w="90"/>
              <w:bottom w:type="dxa" w:w="50"/>
              <w:right w:type="dxa" w:w="90"/>
            </w:tcMar>
            <w:vAlign w:val="center"/>
          </w:tcPr>
          <w:p>
            <w:pPr>
              <w:spacing w:after="0" w:line="240"/>
            </w:pPr>
            <w:r>
              <w:rPr>
                <w:b/>
                <w:bCs/>
                <w:color w:val="FFFFFF"/>
                <w:sz w:val="18"/>
                <w:szCs w:val="18"/>
              </w:rPr>
              <w:t xml:space="preserve">Contenu livré</w:t>
            </w:r>
          </w:p>
        </w:tc>
        <w:tc>
          <w:tcPr>
            <w:tcW w:type="dxa" w:w="1300"/>
            <w:shd w:fill="1F3864" w:val="clear"/>
            <w:tcMar>
              <w:top w:type="dxa" w:w="50"/>
              <w:left w:type="dxa" w:w="90"/>
              <w:bottom w:type="dxa" w:w="50"/>
              <w:right w:type="dxa" w:w="90"/>
            </w:tcMar>
            <w:vAlign w:val="center"/>
          </w:tcPr>
          <w:p>
            <w:pPr>
              <w:spacing w:after="0" w:line="240"/>
            </w:pPr>
            <w:r>
              <w:rPr>
                <w:b/>
                <w:bCs/>
                <w:color w:val="FFFFFF"/>
                <w:sz w:val="18"/>
                <w:szCs w:val="18"/>
              </w:rPr>
              <w:t xml:space="preserve">Dépend de</w:t>
            </w:r>
          </w:p>
        </w:tc>
        <w:tc>
          <w:tcPr>
            <w:tcW w:type="dxa" w:w="2438"/>
            <w:shd w:fill="1F3864" w:val="clear"/>
            <w:tcMar>
              <w:top w:type="dxa" w:w="50"/>
              <w:left w:type="dxa" w:w="90"/>
              <w:bottom w:type="dxa" w:w="50"/>
              <w:right w:type="dxa" w:w="90"/>
            </w:tcMar>
            <w:vAlign w:val="center"/>
          </w:tcPr>
          <w:p>
            <w:pPr>
              <w:spacing w:after="0" w:line="240"/>
            </w:pPr>
            <w:r>
              <w:rPr>
                <w:b/>
                <w:bCs/>
                <w:color w:val="FFFFFF"/>
                <w:sz w:val="18"/>
                <w:szCs w:val="18"/>
              </w:rPr>
              <w:t xml:space="preserve">Couvre</w:t>
            </w:r>
          </w:p>
        </w:tc>
      </w:tr>
      <w:tr>
        <w:tc>
          <w:tcPr>
            <w:tcW w:type="dxa" w:w="700"/>
            <w:tcMar>
              <w:top w:type="dxa" w:w="50"/>
              <w:left w:type="dxa" w:w="90"/>
              <w:bottom w:type="dxa" w:w="50"/>
              <w:right w:type="dxa" w:w="90"/>
            </w:tcMar>
            <w:vAlign w:val="center"/>
          </w:tcPr>
          <w:p>
            <w:pPr>
              <w:spacing w:after="0" w:line="240"/>
            </w:pPr>
            <w:r>
              <w:rPr>
                <w:sz w:val="18"/>
                <w:szCs w:val="18"/>
              </w:rPr>
              <w:t xml:space="preserve">L00</w:t>
            </w:r>
          </w:p>
        </w:tc>
        <w:tc>
          <w:tcPr>
            <w:tcW w:type="dxa" w:w="5200"/>
            <w:tcMar>
              <w:top w:type="dxa" w:w="50"/>
              <w:left w:type="dxa" w:w="90"/>
              <w:bottom w:type="dxa" w:w="50"/>
              <w:right w:type="dxa" w:w="90"/>
            </w:tcMar>
            <w:vAlign w:val="center"/>
          </w:tcPr>
          <w:p>
            <w:pPr>
              <w:spacing w:after="0" w:line="240"/>
            </w:pPr>
            <w:r>
              <w:rPr>
                <w:sz w:val="18"/>
                <w:szCs w:val="18"/>
              </w:rPr>
              <w:t xml:space="preserve">Squelette : Docker Compose (PostgreSQL 16), FastAPI /health, front Vite, Alembic, Makefile, CLAUDE.md, éclatement du CDC en docs/specs/, fixtures anonymisées.</w:t>
            </w:r>
          </w:p>
        </w:tc>
        <w:tc>
          <w:tcPr>
            <w:tcW w:type="dxa" w:w="1300"/>
            <w:tcMar>
              <w:top w:type="dxa" w:w="50"/>
              <w:left w:type="dxa" w:w="90"/>
              <w:bottom w:type="dxa" w:w="50"/>
              <w:right w:type="dxa" w:w="90"/>
            </w:tcMar>
            <w:vAlign w:val="center"/>
          </w:tcPr>
          <w:p>
            <w:pPr>
              <w:spacing w:after="0" w:line="240"/>
            </w:pPr>
            <w:r>
              <w:rPr>
                <w:sz w:val="18"/>
                <w:szCs w:val="18"/>
              </w:rPr>
              <w:t xml:space="preserve">—</w:t>
            </w:r>
          </w:p>
        </w:tc>
        <w:tc>
          <w:tcPr>
            <w:tcW w:type="dxa" w:w="2438"/>
            <w:tcMar>
              <w:top w:type="dxa" w:w="50"/>
              <w:left w:type="dxa" w:w="90"/>
              <w:bottom w:type="dxa" w:w="50"/>
              <w:right w:type="dxa" w:w="90"/>
            </w:tcMar>
            <w:vAlign w:val="center"/>
          </w:tcPr>
          <w:p>
            <w:pPr>
              <w:spacing w:after="0" w:line="240"/>
            </w:pPr>
            <w:r>
              <w:rPr>
                <w:sz w:val="18"/>
                <w:szCs w:val="18"/>
              </w:rPr>
              <w:t xml:space="preserve">Socle</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L01</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Comptes, poches de capital, référentiel instruments, places (MIC) et listings avec place de référence unique.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L00</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FR-001, FR-002, FR-231</w:t>
            </w:r>
          </w:p>
        </w:tc>
      </w:tr>
      <w:tr>
        <w:tc>
          <w:tcPr>
            <w:tcW w:type="dxa" w:w="700"/>
            <w:tcMar>
              <w:top w:type="dxa" w:w="50"/>
              <w:left w:type="dxa" w:w="90"/>
              <w:bottom w:type="dxa" w:w="50"/>
              <w:right w:type="dxa" w:w="90"/>
            </w:tcMar>
            <w:vAlign w:val="center"/>
          </w:tcPr>
          <w:p>
            <w:pPr>
              <w:spacing w:after="0" w:line="240"/>
            </w:pPr>
            <w:r>
              <w:rPr>
                <w:sz w:val="18"/>
                <w:szCs w:val="18"/>
              </w:rPr>
              <w:t xml:space="preserve">L02</w:t>
            </w:r>
          </w:p>
        </w:tc>
        <w:tc>
          <w:tcPr>
            <w:tcW w:type="dxa" w:w="5200"/>
            <w:tcMar>
              <w:top w:type="dxa" w:w="50"/>
              <w:left w:type="dxa" w:w="90"/>
              <w:bottom w:type="dxa" w:w="50"/>
              <w:right w:type="dxa" w:w="90"/>
            </w:tcMar>
            <w:vAlign w:val="center"/>
          </w:tcPr>
          <w:p>
            <w:pPr>
              <w:spacing w:after="0" w:line="240"/>
            </w:pPr>
            <w:r>
              <w:rPr>
                <w:sz w:val="18"/>
                <w:szCs w:val="18"/>
              </w:rPr>
              <w:t xml:space="preserve">Import cotations multi-places (format Euronext historique + format normalisé US/Xetra/SIX/LSE), taux de change historisés, fraîcheur des cours.</w:t>
            </w:r>
          </w:p>
        </w:tc>
        <w:tc>
          <w:tcPr>
            <w:tcW w:type="dxa" w:w="1300"/>
            <w:tcMar>
              <w:top w:type="dxa" w:w="50"/>
              <w:left w:type="dxa" w:w="90"/>
              <w:bottom w:type="dxa" w:w="50"/>
              <w:right w:type="dxa" w:w="90"/>
            </w:tcMar>
            <w:vAlign w:val="center"/>
          </w:tcPr>
          <w:p>
            <w:pPr>
              <w:spacing w:after="0" w:line="240"/>
            </w:pPr>
            <w:r>
              <w:rPr>
                <w:sz w:val="18"/>
                <w:szCs w:val="18"/>
              </w:rPr>
              <w:t xml:space="preserve">L01</w:t>
            </w:r>
          </w:p>
        </w:tc>
        <w:tc>
          <w:tcPr>
            <w:tcW w:type="dxa" w:w="2438"/>
            <w:tcMar>
              <w:top w:type="dxa" w:w="50"/>
              <w:left w:type="dxa" w:w="90"/>
              <w:bottom w:type="dxa" w:w="50"/>
              <w:right w:type="dxa" w:w="90"/>
            </w:tcMar>
            <w:vAlign w:val="center"/>
          </w:tcPr>
          <w:p>
            <w:pPr>
              <w:spacing w:after="0" w:line="240"/>
            </w:pPr>
            <w:r>
              <w:rPr>
                <w:sz w:val="18"/>
                <w:szCs w:val="18"/>
              </w:rPr>
              <w:t xml:space="preserve">FR-020, FR-021, FR-232 ; REC-42</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L02b</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Calendriers de marché : sessions locales, fuseaux IANA, jours fériés, demi-séances, statut ouvert/fermé, conversion des règles horaires avec heure d’été.</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L01</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FR-230, FR-237 ; REC-43, REC-44</w:t>
            </w:r>
          </w:p>
        </w:tc>
      </w:tr>
      <w:tr>
        <w:tc>
          <w:tcPr>
            <w:tcW w:type="dxa" w:w="700"/>
            <w:tcMar>
              <w:top w:type="dxa" w:w="50"/>
              <w:left w:type="dxa" w:w="90"/>
              <w:bottom w:type="dxa" w:w="50"/>
              <w:right w:type="dxa" w:w="90"/>
            </w:tcMar>
            <w:vAlign w:val="center"/>
          </w:tcPr>
          <w:p>
            <w:pPr>
              <w:spacing w:after="0" w:line="240"/>
            </w:pPr>
            <w:r>
              <w:rPr>
                <w:sz w:val="18"/>
                <w:szCs w:val="18"/>
              </w:rPr>
              <w:t xml:space="preserve">L03</w:t>
            </w:r>
          </w:p>
        </w:tc>
        <w:tc>
          <w:tcPr>
            <w:tcW w:type="dxa" w:w="5200"/>
            <w:tcMar>
              <w:top w:type="dxa" w:w="50"/>
              <w:left w:type="dxa" w:w="90"/>
              <w:bottom w:type="dxa" w:w="50"/>
              <w:right w:type="dxa" w:w="90"/>
            </w:tcMar>
            <w:vAlign w:val="center"/>
          </w:tcPr>
          <w:p>
            <w:pPr>
              <w:spacing w:after="0" w:line="240"/>
            </w:pPr>
            <w:r>
              <w:rPr>
                <w:sz w:val="18"/>
                <w:szCs w:val="18"/>
              </w:rPr>
              <w:t xml:space="preserve">Import transactions/opérations Saxo XLSX : hash, dédup, ImportBatch, journal d’anomalies.</w:t>
            </w:r>
          </w:p>
        </w:tc>
        <w:tc>
          <w:tcPr>
            <w:tcW w:type="dxa" w:w="1300"/>
            <w:tcMar>
              <w:top w:type="dxa" w:w="50"/>
              <w:left w:type="dxa" w:w="90"/>
              <w:bottom w:type="dxa" w:w="50"/>
              <w:right w:type="dxa" w:w="90"/>
            </w:tcMar>
            <w:vAlign w:val="center"/>
          </w:tcPr>
          <w:p>
            <w:pPr>
              <w:spacing w:after="0" w:line="240"/>
            </w:pPr>
            <w:r>
              <w:rPr>
                <w:sz w:val="18"/>
                <w:szCs w:val="18"/>
              </w:rPr>
              <w:t xml:space="preserve">L01</w:t>
            </w:r>
          </w:p>
        </w:tc>
        <w:tc>
          <w:tcPr>
            <w:tcW w:type="dxa" w:w="2438"/>
            <w:tcMar>
              <w:top w:type="dxa" w:w="50"/>
              <w:left w:type="dxa" w:w="90"/>
              <w:bottom w:type="dxa" w:w="50"/>
              <w:right w:type="dxa" w:w="90"/>
            </w:tcMar>
            <w:vAlign w:val="center"/>
          </w:tcPr>
          <w:p>
            <w:pPr>
              <w:spacing w:after="0" w:line="240"/>
            </w:pPr>
            <w:r>
              <w:rPr>
                <w:sz w:val="18"/>
                <w:szCs w:val="18"/>
              </w:rPr>
              <w:t xml:space="preserve">FR-010, FR-011, FR-218 ; REC-01, REC-33</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L04</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Import positions Saxo + Boursobank ; écran de rapprochement.</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L03</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FR-012 ; REC-32</w:t>
            </w:r>
          </w:p>
        </w:tc>
      </w:tr>
      <w:tr>
        <w:tc>
          <w:tcPr>
            <w:tcW w:type="dxa" w:w="700"/>
            <w:tcMar>
              <w:top w:type="dxa" w:w="50"/>
              <w:left w:type="dxa" w:w="90"/>
              <w:bottom w:type="dxa" w:w="50"/>
              <w:right w:type="dxa" w:w="90"/>
            </w:tcMar>
            <w:vAlign w:val="center"/>
          </w:tcPr>
          <w:p>
            <w:pPr>
              <w:spacing w:after="0" w:line="240"/>
            </w:pPr>
            <w:r>
              <w:rPr>
                <w:sz w:val="18"/>
                <w:szCs w:val="18"/>
              </w:rPr>
              <w:t xml:space="preserve">L05</w:t>
            </w:r>
          </w:p>
        </w:tc>
        <w:tc>
          <w:tcPr>
            <w:tcW w:type="dxa" w:w="5200"/>
            <w:tcMar>
              <w:top w:type="dxa" w:w="50"/>
              <w:left w:type="dxa" w:w="90"/>
              <w:bottom w:type="dxa" w:w="50"/>
              <w:right w:type="dxa" w:w="90"/>
            </w:tcMar>
            <w:vAlign w:val="center"/>
          </w:tcPr>
          <w:p>
            <w:pPr>
              <w:spacing w:after="0" w:line="240"/>
            </w:pPr>
            <w:r>
              <w:rPr>
                <w:sz w:val="18"/>
                <w:szCs w:val="18"/>
              </w:rPr>
              <w:t xml:space="preserve">Moteur de positions : lots, PRU, P/L latent/réalisé, décomposition P/L titre / P/L change, règlement T+1/T+2 dans le cash disponible, snapshots.</w:t>
            </w:r>
          </w:p>
        </w:tc>
        <w:tc>
          <w:tcPr>
            <w:tcW w:type="dxa" w:w="1300"/>
            <w:tcMar>
              <w:top w:type="dxa" w:w="50"/>
              <w:left w:type="dxa" w:w="90"/>
              <w:bottom w:type="dxa" w:w="50"/>
              <w:right w:type="dxa" w:w="90"/>
            </w:tcMar>
            <w:vAlign w:val="center"/>
          </w:tcPr>
          <w:p>
            <w:pPr>
              <w:spacing w:after="0" w:line="240"/>
            </w:pPr>
            <w:r>
              <w:rPr>
                <w:sz w:val="18"/>
                <w:szCs w:val="18"/>
              </w:rPr>
              <w:t xml:space="preserve">L02–L04</w:t>
            </w:r>
          </w:p>
        </w:tc>
        <w:tc>
          <w:tcPr>
            <w:tcW w:type="dxa" w:w="2438"/>
            <w:tcMar>
              <w:top w:type="dxa" w:w="50"/>
              <w:left w:type="dxa" w:w="90"/>
              <w:bottom w:type="dxa" w:w="50"/>
              <w:right w:type="dxa" w:w="90"/>
            </w:tcMar>
            <w:vAlign w:val="center"/>
          </w:tcPr>
          <w:p>
            <w:pPr>
              <w:spacing w:after="0" w:line="240"/>
            </w:pPr>
            <w:r>
              <w:rPr>
                <w:sz w:val="18"/>
                <w:szCs w:val="18"/>
              </w:rPr>
              <w:t xml:space="preserve">FR-030, FR-031, FR-233, FR-238 ; REC-41</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L06</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Ordres : intents, ordres réels, OCO, orphelins, divergences, incidents courtier.</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L05</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FR-050–052, FR-209, FR-210 ; REC-02/03/04/05/06/30/31/28</w:t>
            </w:r>
          </w:p>
        </w:tc>
      </w:tr>
      <w:tr>
        <w:tc>
          <w:tcPr>
            <w:tcW w:type="dxa" w:w="700"/>
            <w:tcMar>
              <w:top w:type="dxa" w:w="50"/>
              <w:left w:type="dxa" w:w="90"/>
              <w:bottom w:type="dxa" w:w="50"/>
              <w:right w:type="dxa" w:w="90"/>
            </w:tcMar>
            <w:vAlign w:val="center"/>
          </w:tcPr>
          <w:p>
            <w:pPr>
              <w:spacing w:after="0" w:line="240"/>
            </w:pPr>
            <w:r>
              <w:rPr>
                <w:sz w:val="18"/>
                <w:szCs w:val="18"/>
              </w:rPr>
              <w:t xml:space="preserve">L07</w:t>
            </w:r>
          </w:p>
        </w:tc>
        <w:tc>
          <w:tcPr>
            <w:tcW w:type="dxa" w:w="5200"/>
            <w:tcMar>
              <w:top w:type="dxa" w:w="50"/>
              <w:left w:type="dxa" w:w="90"/>
              <w:bottom w:type="dxa" w:w="50"/>
              <w:right w:type="dxa" w:w="90"/>
            </w:tcMar>
            <w:vAlign w:val="center"/>
          </w:tcPr>
          <w:p>
            <w:pPr>
              <w:spacing w:after="0" w:line="240"/>
            </w:pPr>
            <w:r>
              <w:rPr>
                <w:sz w:val="18"/>
                <w:szCs w:val="18"/>
              </w:rPr>
              <w:t xml:space="preserve">Moteur de risque : sizing par grade, heat en EUR, stress de gap paramétré par zone, exposition et stress de change.</w:t>
            </w:r>
          </w:p>
        </w:tc>
        <w:tc>
          <w:tcPr>
            <w:tcW w:type="dxa" w:w="1300"/>
            <w:tcMar>
              <w:top w:type="dxa" w:w="50"/>
              <w:left w:type="dxa" w:w="90"/>
              <w:bottom w:type="dxa" w:w="50"/>
              <w:right w:type="dxa" w:w="90"/>
            </w:tcMar>
            <w:vAlign w:val="center"/>
          </w:tcPr>
          <w:p>
            <w:pPr>
              <w:spacing w:after="0" w:line="240"/>
            </w:pPr>
            <w:r>
              <w:rPr>
                <w:sz w:val="18"/>
                <w:szCs w:val="18"/>
              </w:rPr>
              <w:t xml:space="preserve">L05</w:t>
            </w:r>
          </w:p>
        </w:tc>
        <w:tc>
          <w:tcPr>
            <w:tcW w:type="dxa" w:w="2438"/>
            <w:tcMar>
              <w:top w:type="dxa" w:w="50"/>
              <w:left w:type="dxa" w:w="90"/>
              <w:bottom w:type="dxa" w:w="50"/>
              <w:right w:type="dxa" w:w="90"/>
            </w:tcMar>
            <w:vAlign w:val="center"/>
          </w:tcPr>
          <w:p>
            <w:pPr>
              <w:spacing w:after="0" w:line="240"/>
            </w:pPr>
            <w:r>
              <w:rPr>
                <w:sz w:val="18"/>
                <w:szCs w:val="18"/>
              </w:rPr>
              <w:t xml:space="preserve">FR-042, FR-202, FR-203, FR-207, FR-234 ; REC-08/21/22/23</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L08</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Scénarios : machine d’états, gates par marché, no-go par banque centrale, filtre de liquidité, SRD limité à Paris, calendrier SRD.</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L07, L02b</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FR-043, FR-060, FR-204–206, FR-235, FR-236, FR-241, FR-244 ; REC-09/24/25/45/47/48</w:t>
            </w:r>
          </w:p>
        </w:tc>
      </w:tr>
      <w:tr>
        <w:tc>
          <w:tcPr>
            <w:tcW w:type="dxa" w:w="700"/>
            <w:tcMar>
              <w:top w:type="dxa" w:w="50"/>
              <w:left w:type="dxa" w:w="90"/>
              <w:bottom w:type="dxa" w:w="50"/>
              <w:right w:type="dxa" w:w="90"/>
            </w:tcMar>
            <w:vAlign w:val="center"/>
          </w:tcPr>
          <w:p>
            <w:pPr>
              <w:spacing w:after="0" w:line="240"/>
            </w:pPr>
            <w:r>
              <w:rPr>
                <w:sz w:val="18"/>
                <w:szCs w:val="18"/>
              </w:rPr>
              <w:t xml:space="preserve">L08b</w:t>
            </w:r>
          </w:p>
        </w:tc>
        <w:tc>
          <w:tcPr>
            <w:tcW w:type="dxa" w:w="5200"/>
            <w:tcMar>
              <w:top w:type="dxa" w:w="50"/>
              <w:left w:type="dxa" w:w="90"/>
              <w:bottom w:type="dxa" w:w="50"/>
              <w:right w:type="dxa" w:w="90"/>
            </w:tcMar>
            <w:vAlign w:val="center"/>
          </w:tcPr>
          <w:p>
            <w:pPr>
              <w:spacing w:after="0" w:line="240"/>
            </w:pPr>
            <w:r>
              <w:rPr>
                <w:sz w:val="18"/>
                <w:szCs w:val="18"/>
              </w:rPr>
              <w:t xml:space="preserve">Moteur de stops et de sorties : remontée du stop, cliquet sur objectifs, allègements proposés, ajustement sur opérations sur titres, critère de rotation.</w:t>
            </w:r>
          </w:p>
        </w:tc>
        <w:tc>
          <w:tcPr>
            <w:tcW w:type="dxa" w:w="1300"/>
            <w:tcMar>
              <w:top w:type="dxa" w:w="50"/>
              <w:left w:type="dxa" w:w="90"/>
              <w:bottom w:type="dxa" w:w="50"/>
              <w:right w:type="dxa" w:w="90"/>
            </w:tcMar>
            <w:vAlign w:val="center"/>
          </w:tcPr>
          <w:p>
            <w:pPr>
              <w:spacing w:after="0" w:line="240"/>
            </w:pPr>
            <w:r>
              <w:rPr>
                <w:sz w:val="18"/>
                <w:szCs w:val="18"/>
              </w:rPr>
              <w:t xml:space="preserve">L05, L08</w:t>
            </w:r>
          </w:p>
        </w:tc>
        <w:tc>
          <w:tcPr>
            <w:tcW w:type="dxa" w:w="2438"/>
            <w:tcMar>
              <w:top w:type="dxa" w:w="50"/>
              <w:left w:type="dxa" w:w="90"/>
              <w:bottom w:type="dxa" w:w="50"/>
              <w:right w:type="dxa" w:w="90"/>
            </w:tcMar>
            <w:vAlign w:val="center"/>
          </w:tcPr>
          <w:p>
            <w:pPr>
              <w:spacing w:after="0" w:line="240"/>
            </w:pPr>
            <w:r>
              <w:rPr>
                <w:sz w:val="18"/>
                <w:szCs w:val="18"/>
              </w:rPr>
              <w:t xml:space="preserve">FR-250–254 ; REC-50/51/52/53/54</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L09</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Recommandations immuables + scoring.</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L08</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FR-040, FR-041 ; REC-07</w:t>
            </w:r>
          </w:p>
        </w:tc>
      </w:tr>
      <w:tr>
        <w:tc>
          <w:tcPr>
            <w:tcW w:type="dxa" w:w="700"/>
            <w:tcMar>
              <w:top w:type="dxa" w:w="50"/>
              <w:left w:type="dxa" w:w="90"/>
              <w:bottom w:type="dxa" w:w="50"/>
              <w:right w:type="dxa" w:w="90"/>
            </w:tcMar>
            <w:vAlign w:val="center"/>
          </w:tcPr>
          <w:p>
            <w:pPr>
              <w:spacing w:after="0" w:line="240"/>
            </w:pPr>
            <w:r>
              <w:rPr>
                <w:sz w:val="18"/>
                <w:szCs w:val="18"/>
              </w:rPr>
              <w:t xml:space="preserve">L10</w:t>
            </w:r>
          </w:p>
        </w:tc>
        <w:tc>
          <w:tcPr>
            <w:tcW w:type="dxa" w:w="5200"/>
            <w:tcMar>
              <w:top w:type="dxa" w:w="50"/>
              <w:left w:type="dxa" w:w="90"/>
              <w:bottom w:type="dxa" w:w="50"/>
              <w:right w:type="dxa" w:w="90"/>
            </w:tcMar>
            <w:vAlign w:val="center"/>
          </w:tcPr>
          <w:p>
            <w:pPr>
              <w:spacing w:after="0" w:line="240"/>
            </w:pPr>
            <w:r>
              <w:rPr>
                <w:sz w:val="18"/>
                <w:szCs w:val="18"/>
              </w:rPr>
              <w:t xml:space="preserve">Pyramiding en tranches.</w:t>
            </w:r>
          </w:p>
        </w:tc>
        <w:tc>
          <w:tcPr>
            <w:tcW w:type="dxa" w:w="1300"/>
            <w:tcMar>
              <w:top w:type="dxa" w:w="50"/>
              <w:left w:type="dxa" w:w="90"/>
              <w:bottom w:type="dxa" w:w="50"/>
              <w:right w:type="dxa" w:w="90"/>
            </w:tcMar>
            <w:vAlign w:val="center"/>
          </w:tcPr>
          <w:p>
            <w:pPr>
              <w:spacing w:after="0" w:line="240"/>
            </w:pPr>
            <w:r>
              <w:rPr>
                <w:sz w:val="18"/>
                <w:szCs w:val="18"/>
              </w:rPr>
              <w:t xml:space="preserve">L08</w:t>
            </w:r>
          </w:p>
        </w:tc>
        <w:tc>
          <w:tcPr>
            <w:tcW w:type="dxa" w:w="2438"/>
            <w:tcMar>
              <w:top w:type="dxa" w:w="50"/>
              <w:left w:type="dxa" w:w="90"/>
              <w:bottom w:type="dxa" w:w="50"/>
              <w:right w:type="dxa" w:w="90"/>
            </w:tcMar>
            <w:vAlign w:val="center"/>
          </w:tcPr>
          <w:p>
            <w:pPr>
              <w:spacing w:after="0" w:line="240"/>
            </w:pPr>
            <w:r>
              <w:rPr>
                <w:sz w:val="18"/>
                <w:szCs w:val="18"/>
              </w:rPr>
              <w:t xml:space="preserve">FR-208 ; REC-26/27</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L11</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KPI socle (P/L, hit rate, profit factor, expectancy, drawdown) + attribution par marché, zone et devise + écran Performance.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L05</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FR-070, FR-071, FR-243</w:t>
            </w:r>
          </w:p>
        </w:tc>
      </w:tr>
      <w:tr>
        <w:tc>
          <w:tcPr>
            <w:tcW w:type="dxa" w:w="700"/>
            <w:tcMar>
              <w:top w:type="dxa" w:w="50"/>
              <w:left w:type="dxa" w:w="90"/>
              <w:bottom w:type="dxa" w:w="50"/>
              <w:right w:type="dxa" w:w="90"/>
            </w:tcMar>
            <w:vAlign w:val="center"/>
          </w:tcPr>
          <w:p>
            <w:pPr>
              <w:spacing w:after="0" w:line="240"/>
            </w:pPr>
            <w:r>
              <w:rPr>
                <w:sz w:val="18"/>
                <w:szCs w:val="18"/>
              </w:rPr>
              <w:t xml:space="preserve">L12</w:t>
            </w:r>
          </w:p>
        </w:tc>
        <w:tc>
          <w:tcPr>
            <w:tcW w:type="dxa" w:w="5200"/>
            <w:tcMar>
              <w:top w:type="dxa" w:w="50"/>
              <w:left w:type="dxa" w:w="90"/>
              <w:bottom w:type="dxa" w:w="50"/>
              <w:right w:type="dxa" w:w="90"/>
            </w:tcMar>
            <w:vAlign w:val="center"/>
          </w:tcPr>
          <w:p>
            <w:pPr>
              <w:spacing w:after="0" w:line="240"/>
            </w:pPr>
            <w:r>
              <w:rPr>
                <w:sz w:val="18"/>
                <w:szCs w:val="18"/>
              </w:rPr>
              <w:t xml:space="preserve">Rapport quotidien 10 sections, rituel 15 minutes, session quotidienne guidée.</w:t>
            </w:r>
          </w:p>
        </w:tc>
        <w:tc>
          <w:tcPr>
            <w:tcW w:type="dxa" w:w="1300"/>
            <w:tcMar>
              <w:top w:type="dxa" w:w="50"/>
              <w:left w:type="dxa" w:w="90"/>
              <w:bottom w:type="dxa" w:w="50"/>
              <w:right w:type="dxa" w:w="90"/>
            </w:tcMar>
            <w:vAlign w:val="center"/>
          </w:tcPr>
          <w:p>
            <w:pPr>
              <w:spacing w:after="0" w:line="240"/>
            </w:pPr>
            <w:r>
              <w:rPr>
                <w:sz w:val="18"/>
                <w:szCs w:val="18"/>
              </w:rPr>
              <w:t xml:space="preserve">L06–L09, L11</w:t>
            </w:r>
          </w:p>
        </w:tc>
        <w:tc>
          <w:tcPr>
            <w:tcW w:type="dxa" w:w="2438"/>
            <w:tcMar>
              <w:top w:type="dxa" w:w="50"/>
              <w:left w:type="dxa" w:w="90"/>
              <w:bottom w:type="dxa" w:w="50"/>
              <w:right w:type="dxa" w:w="90"/>
            </w:tcMar>
            <w:vAlign w:val="center"/>
          </w:tcPr>
          <w:p>
            <w:pPr>
              <w:spacing w:after="0" w:line="240"/>
            </w:pPr>
            <w:r>
              <w:rPr>
                <w:sz w:val="18"/>
                <w:szCs w:val="18"/>
              </w:rPr>
              <w:t xml:space="preserve">FR-090, FR-091, FR-215, FR-219</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L13</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DCA PEA, poches protégées, redondance ETF, éligibilité PEA par pays de l’émetteur avec blocage de routage, fiscalité estimative / TLH.</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L05</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FR-211–214, FR-002, FR-240 ; REC-29, REC-40</w:t>
            </w:r>
          </w:p>
        </w:tc>
      </w:tr>
      <w:tr>
        <w:tc>
          <w:tcPr>
            <w:tcW w:type="dxa" w:w="700"/>
            <w:tcMar>
              <w:top w:type="dxa" w:w="50"/>
              <w:left w:type="dxa" w:w="90"/>
              <w:bottom w:type="dxa" w:w="50"/>
              <w:right w:type="dxa" w:w="90"/>
            </w:tcMar>
            <w:vAlign w:val="center"/>
          </w:tcPr>
          <w:p>
            <w:pPr>
              <w:spacing w:after="0" w:line="240"/>
            </w:pPr>
            <w:r>
              <w:rPr>
                <w:sz w:val="18"/>
                <w:szCs w:val="18"/>
              </w:rPr>
              <w:t xml:space="preserve">L14</w:t>
            </w:r>
          </w:p>
        </w:tc>
        <w:tc>
          <w:tcPr>
            <w:tcW w:type="dxa" w:w="5200"/>
            <w:tcMar>
              <w:top w:type="dxa" w:w="50"/>
              <w:left w:type="dxa" w:w="90"/>
              <w:bottom w:type="dxa" w:w="50"/>
              <w:right w:type="dxa" w:w="90"/>
            </w:tcMar>
            <w:vAlign w:val="center"/>
          </w:tcPr>
          <w:p>
            <w:pPr>
              <w:spacing w:after="0" w:line="240"/>
            </w:pPr>
            <w:r>
              <w:rPr>
                <w:sz w:val="18"/>
                <w:szCs w:val="18"/>
              </w:rPr>
              <w:t xml:space="preserve">Parseurs de sources : Momentum DOCX, newsletters US (e-mail .eml/.html), mapping source → composante, anti-double-comptage, table de correspondance des notations, statut WATCH pour source non caractérisée.</w:t>
            </w:r>
          </w:p>
        </w:tc>
        <w:tc>
          <w:tcPr>
            <w:tcW w:type="dxa" w:w="1300"/>
            <w:tcMar>
              <w:top w:type="dxa" w:w="50"/>
              <w:left w:type="dxa" w:w="90"/>
              <w:bottom w:type="dxa" w:w="50"/>
              <w:right w:type="dxa" w:w="90"/>
            </w:tcMar>
            <w:vAlign w:val="center"/>
          </w:tcPr>
          <w:p>
            <w:pPr>
              <w:spacing w:after="0" w:line="240"/>
            </w:pPr>
            <w:r>
              <w:rPr>
                <w:sz w:val="18"/>
                <w:szCs w:val="18"/>
              </w:rPr>
              <w:t xml:space="preserve">L01</w:t>
            </w:r>
          </w:p>
        </w:tc>
        <w:tc>
          <w:tcPr>
            <w:tcW w:type="dxa" w:w="2438"/>
            <w:tcMar>
              <w:top w:type="dxa" w:w="50"/>
              <w:left w:type="dxa" w:w="90"/>
              <w:bottom w:type="dxa" w:w="50"/>
              <w:right w:type="dxa" w:w="90"/>
            </w:tcMar>
            <w:vAlign w:val="center"/>
          </w:tcPr>
          <w:p>
            <w:pPr>
              <w:spacing w:after="0" w:line="240"/>
            </w:pPr>
            <w:r>
              <w:rPr>
                <w:sz w:val="18"/>
                <w:szCs w:val="18"/>
              </w:rPr>
              <w:t xml:space="preserve">FR-100, FR-101, FR-242, FR-260–263 ; REC-60/61/62/63</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L15</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Audit append-only, sauvegarde/restauration chiffrée, sécurité d’accès.</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L00</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FR-110, FR-111 ; REC-11</w:t>
            </w:r>
          </w:p>
        </w:tc>
      </w:tr>
      <w:tr>
        <w:tc>
          <w:tcPr>
            <w:tcW w:type="dxa" w:w="700"/>
            <w:tcMar>
              <w:top w:type="dxa" w:w="50"/>
              <w:left w:type="dxa" w:w="90"/>
              <w:bottom w:type="dxa" w:w="50"/>
              <w:right w:type="dxa" w:w="90"/>
            </w:tcMar>
            <w:vAlign w:val="center"/>
          </w:tcPr>
          <w:p>
            <w:pPr>
              <w:spacing w:after="0" w:line="240"/>
            </w:pPr>
            <w:r>
              <w:rPr>
                <w:sz w:val="18"/>
                <w:szCs w:val="18"/>
              </w:rPr>
              <w:t xml:space="preserve">L16</w:t>
            </w:r>
          </w:p>
        </w:tc>
        <w:tc>
          <w:tcPr>
            <w:tcW w:type="dxa" w:w="5200"/>
            <w:tcMar>
              <w:top w:type="dxa" w:w="50"/>
              <w:left w:type="dxa" w:w="90"/>
              <w:bottom w:type="dxa" w:w="50"/>
              <w:right w:type="dxa" w:w="90"/>
            </w:tcMar>
            <w:vAlign w:val="center"/>
          </w:tcPr>
          <w:p>
            <w:pPr>
              <w:spacing w:after="0" w:line="240"/>
            </w:pPr>
            <w:r>
              <w:rPr>
                <w:sz w:val="18"/>
                <w:szCs w:val="18"/>
              </w:rPr>
              <w:t xml:space="preserve">Évaluation rétrospective D+1…D+60, MFE/MAE, post-mortem.</w:t>
            </w:r>
          </w:p>
        </w:tc>
        <w:tc>
          <w:tcPr>
            <w:tcW w:type="dxa" w:w="1300"/>
            <w:tcMar>
              <w:top w:type="dxa" w:w="50"/>
              <w:left w:type="dxa" w:w="90"/>
              <w:bottom w:type="dxa" w:w="50"/>
              <w:right w:type="dxa" w:w="90"/>
            </w:tcMar>
            <w:vAlign w:val="center"/>
          </w:tcPr>
          <w:p>
            <w:pPr>
              <w:spacing w:after="0" w:line="240"/>
            </w:pPr>
            <w:r>
              <w:rPr>
                <w:sz w:val="18"/>
                <w:szCs w:val="18"/>
              </w:rPr>
              <w:t xml:space="preserve">L11</w:t>
            </w:r>
          </w:p>
        </w:tc>
        <w:tc>
          <w:tcPr>
            <w:tcW w:type="dxa" w:w="2438"/>
            <w:tcMar>
              <w:top w:type="dxa" w:w="50"/>
              <w:left w:type="dxa" w:w="90"/>
              <w:bottom w:type="dxa" w:w="50"/>
              <w:right w:type="dxa" w:w="90"/>
            </w:tcMar>
            <w:vAlign w:val="center"/>
          </w:tcPr>
          <w:p>
            <w:pPr>
              <w:spacing w:after="0" w:line="240"/>
            </w:pPr>
            <w:r>
              <w:rPr>
                <w:sz w:val="18"/>
                <w:szCs w:val="18"/>
              </w:rPr>
              <w:t xml:space="preserve">FR-072, FR-216</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L17</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Boucle d’amélioration + StrategyVersion.</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L16</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FR-080, FR-081 ; REC-10</w:t>
            </w:r>
          </w:p>
        </w:tc>
      </w:tr>
      <w:tr>
        <w:tc>
          <w:tcPr>
            <w:tcW w:type="dxa" w:w="700"/>
            <w:tcMar>
              <w:top w:type="dxa" w:w="50"/>
              <w:left w:type="dxa" w:w="90"/>
              <w:bottom w:type="dxa" w:w="50"/>
              <w:right w:type="dxa" w:w="90"/>
            </w:tcMar>
            <w:vAlign w:val="center"/>
          </w:tcPr>
          <w:p>
            <w:pPr>
              <w:spacing w:after="0" w:line="240"/>
            </w:pPr>
            <w:r>
              <w:rPr>
                <w:sz w:val="18"/>
                <w:szCs w:val="18"/>
              </w:rPr>
              <w:t xml:space="preserve">L18</w:t>
            </w:r>
          </w:p>
        </w:tc>
        <w:tc>
          <w:tcPr>
            <w:tcW w:type="dxa" w:w="5200"/>
            <w:tcMar>
              <w:top w:type="dxa" w:w="50"/>
              <w:left w:type="dxa" w:w="90"/>
              <w:bottom w:type="dxa" w:w="50"/>
              <w:right w:type="dxa" w:w="90"/>
            </w:tcMar>
            <w:vAlign w:val="center"/>
          </w:tcPr>
          <w:p>
            <w:pPr>
              <w:spacing w:after="0" w:line="240"/>
            </w:pPr>
            <w:r>
              <w:rPr>
                <w:sz w:val="18"/>
                <w:szCs w:val="18"/>
              </w:rPr>
              <w:t xml:space="preserve">Import de l’export Claude ZIP avec provenance.</w:t>
            </w:r>
          </w:p>
        </w:tc>
        <w:tc>
          <w:tcPr>
            <w:tcW w:type="dxa" w:w="1300"/>
            <w:tcMar>
              <w:top w:type="dxa" w:w="50"/>
              <w:left w:type="dxa" w:w="90"/>
              <w:bottom w:type="dxa" w:w="50"/>
              <w:right w:type="dxa" w:w="90"/>
            </w:tcMar>
            <w:vAlign w:val="center"/>
          </w:tcPr>
          <w:p>
            <w:pPr>
              <w:spacing w:after="0" w:line="240"/>
            </w:pPr>
            <w:r>
              <w:rPr>
                <w:sz w:val="18"/>
                <w:szCs w:val="18"/>
              </w:rPr>
              <w:t xml:space="preserve">L00</w:t>
            </w:r>
          </w:p>
        </w:tc>
        <w:tc>
          <w:tcPr>
            <w:tcW w:type="dxa" w:w="2438"/>
            <w:tcMar>
              <w:top w:type="dxa" w:w="50"/>
              <w:left w:type="dxa" w:w="90"/>
              <w:bottom w:type="dxa" w:w="50"/>
              <w:right w:type="dxa" w:w="90"/>
            </w:tcMar>
            <w:vAlign w:val="center"/>
          </w:tcPr>
          <w:p>
            <w:pPr>
              <w:spacing w:after="0" w:line="240"/>
            </w:pPr>
            <w:r>
              <w:rPr>
                <w:sz w:val="18"/>
                <w:szCs w:val="18"/>
              </w:rPr>
              <w:t xml:space="preserve">FR-200, FR-201 ; REC-20</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L19</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Retenue à la source sur dividendes étrangers : règles par pays et enveloppe, séparation brut/net, statut estimatif.</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L05, L13</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FR-239 ; REC-46</w:t>
            </w:r>
          </w:p>
        </w:tc>
      </w:tr>
    </w:tbl>
    <w:p>
      <w:pPr>
        <w:pStyle w:val="Heading2"/>
        <w:spacing w:after="120" w:before="240"/>
      </w:pPr>
      <w:r>
        <w:t xml:space="preserve">15.2 Phase 2 — automatisation n8n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200"/>
        <w:gridCol w:w="1300"/>
        <w:gridCol w:w="2438"/>
      </w:tblGrid>
      <w:tr>
        <w:trPr>
          <w:tblHeader/>
        </w:trPr>
        <w:tc>
          <w:tcPr>
            <w:tcW w:type="dxa" w:w="700"/>
            <w:shd w:fill="1F3864" w:val="clear"/>
            <w:tcMar>
              <w:top w:type="dxa" w:w="50"/>
              <w:left w:type="dxa" w:w="90"/>
              <w:bottom w:type="dxa" w:w="50"/>
              <w:right w:type="dxa" w:w="90"/>
            </w:tcMar>
            <w:vAlign w:val="center"/>
          </w:tcPr>
          <w:p>
            <w:pPr>
              <w:spacing w:after="0" w:line="240"/>
            </w:pPr>
            <w:r>
              <w:rPr>
                <w:b/>
                <w:bCs/>
                <w:color w:val="FFFFFF"/>
                <w:sz w:val="18"/>
                <w:szCs w:val="18"/>
              </w:rPr>
              <w:t xml:space="preserve">Lot</w:t>
            </w:r>
          </w:p>
        </w:tc>
        <w:tc>
          <w:tcPr>
            <w:tcW w:type="dxa" w:w="5200"/>
            <w:shd w:fill="1F3864" w:val="clear"/>
            <w:tcMar>
              <w:top w:type="dxa" w:w="50"/>
              <w:left w:type="dxa" w:w="90"/>
              <w:bottom w:type="dxa" w:w="50"/>
              <w:right w:type="dxa" w:w="90"/>
            </w:tcMar>
            <w:vAlign w:val="center"/>
          </w:tcPr>
          <w:p>
            <w:pPr>
              <w:spacing w:after="0" w:line="240"/>
            </w:pPr>
            <w:r>
              <w:rPr>
                <w:b/>
                <w:bCs/>
                <w:color w:val="FFFFFF"/>
                <w:sz w:val="18"/>
                <w:szCs w:val="18"/>
              </w:rPr>
              <w:t xml:space="preserve">Contenu livré</w:t>
            </w:r>
          </w:p>
        </w:tc>
        <w:tc>
          <w:tcPr>
            <w:tcW w:type="dxa" w:w="1300"/>
            <w:shd w:fill="1F3864" w:val="clear"/>
            <w:tcMar>
              <w:top w:type="dxa" w:w="50"/>
              <w:left w:type="dxa" w:w="90"/>
              <w:bottom w:type="dxa" w:w="50"/>
              <w:right w:type="dxa" w:w="90"/>
            </w:tcMar>
            <w:vAlign w:val="center"/>
          </w:tcPr>
          <w:p>
            <w:pPr>
              <w:spacing w:after="0" w:line="240"/>
            </w:pPr>
            <w:r>
              <w:rPr>
                <w:b/>
                <w:bCs/>
                <w:color w:val="FFFFFF"/>
                <w:sz w:val="18"/>
                <w:szCs w:val="18"/>
              </w:rPr>
              <w:t xml:space="preserve">Dépend de</w:t>
            </w:r>
          </w:p>
        </w:tc>
        <w:tc>
          <w:tcPr>
            <w:tcW w:type="dxa" w:w="2438"/>
            <w:shd w:fill="1F3864" w:val="clear"/>
            <w:tcMar>
              <w:top w:type="dxa" w:w="50"/>
              <w:left w:type="dxa" w:w="90"/>
              <w:bottom w:type="dxa" w:w="50"/>
              <w:right w:type="dxa" w:w="90"/>
            </w:tcMar>
            <w:vAlign w:val="center"/>
          </w:tcPr>
          <w:p>
            <w:pPr>
              <w:spacing w:after="0" w:line="240"/>
            </w:pPr>
            <w:r>
              <w:rPr>
                <w:b/>
                <w:bCs/>
                <w:color w:val="FFFFFF"/>
                <w:sz w:val="18"/>
                <w:szCs w:val="18"/>
              </w:rPr>
              <w:t xml:space="preserve">Couvre</w:t>
            </w:r>
          </w:p>
        </w:tc>
      </w:tr>
      <w:tr>
        <w:tc>
          <w:tcPr>
            <w:tcW w:type="dxa" w:w="700"/>
            <w:tcMar>
              <w:top w:type="dxa" w:w="50"/>
              <w:left w:type="dxa" w:w="90"/>
              <w:bottom w:type="dxa" w:w="50"/>
              <w:right w:type="dxa" w:w="90"/>
            </w:tcMar>
            <w:vAlign w:val="center"/>
          </w:tcPr>
          <w:p>
            <w:pPr>
              <w:spacing w:after="0" w:line="240"/>
            </w:pPr>
            <w:r>
              <w:rPr>
                <w:sz w:val="18"/>
                <w:szCs w:val="18"/>
              </w:rPr>
              <w:t xml:space="preserve">L20</w:t>
            </w:r>
          </w:p>
        </w:tc>
        <w:tc>
          <w:tcPr>
            <w:tcW w:type="dxa" w:w="5200"/>
            <w:tcMar>
              <w:top w:type="dxa" w:w="50"/>
              <w:left w:type="dxa" w:w="90"/>
              <w:bottom w:type="dxa" w:w="50"/>
              <w:right w:type="dxa" w:w="90"/>
            </w:tcMar>
            <w:vAlign w:val="center"/>
          </w:tcPr>
          <w:p>
            <w:pPr>
              <w:spacing w:after="0" w:line="240"/>
            </w:pPr>
            <w:r>
              <w:rPr>
                <w:sz w:val="18"/>
                <w:szCs w:val="18"/>
              </w:rPr>
              <w:t xml:space="preserve">API jobs idempotents (correlation_id, hash d’entrée, reprise) + écran des jobs.</w:t>
            </w:r>
          </w:p>
        </w:tc>
        <w:tc>
          <w:tcPr>
            <w:tcW w:type="dxa" w:w="1300"/>
            <w:tcMar>
              <w:top w:type="dxa" w:w="50"/>
              <w:left w:type="dxa" w:w="90"/>
              <w:bottom w:type="dxa" w:w="50"/>
              <w:right w:type="dxa" w:w="90"/>
            </w:tcMar>
            <w:vAlign w:val="center"/>
          </w:tcPr>
          <w:p>
            <w:pPr>
              <w:spacing w:after="0" w:line="240"/>
            </w:pPr>
            <w:r>
              <w:rPr>
                <w:sz w:val="18"/>
                <w:szCs w:val="18"/>
              </w:rPr>
              <w:t xml:space="preserve">L12</w:t>
            </w:r>
          </w:p>
        </w:tc>
        <w:tc>
          <w:tcPr>
            <w:tcW w:type="dxa" w:w="2438"/>
            <w:tcMar>
              <w:top w:type="dxa" w:w="50"/>
              <w:left w:type="dxa" w:w="90"/>
              <w:bottom w:type="dxa" w:w="50"/>
              <w:right w:type="dxa" w:w="90"/>
            </w:tcMar>
            <w:vAlign w:val="center"/>
          </w:tcPr>
          <w:p>
            <w:pPr>
              <w:spacing w:after="0" w:line="240"/>
            </w:pPr>
            <w:r>
              <w:rPr>
                <w:sz w:val="18"/>
                <w:szCs w:val="18"/>
              </w:rPr>
              <w:t xml:space="preserve">FR-220</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L21</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Workflow n8n import courtier (dossier surveillé) en recette parallèle.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L20</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FR-217, FR-222 ; REC-34/35/36</w:t>
            </w:r>
          </w:p>
        </w:tc>
      </w:tr>
      <w:tr>
        <w:tc>
          <w:tcPr>
            <w:tcW w:type="dxa" w:w="700"/>
            <w:tcMar>
              <w:top w:type="dxa" w:w="50"/>
              <w:left w:type="dxa" w:w="90"/>
              <w:bottom w:type="dxa" w:w="50"/>
              <w:right w:type="dxa" w:w="90"/>
            </w:tcMar>
            <w:vAlign w:val="center"/>
          </w:tcPr>
          <w:p>
            <w:pPr>
              <w:spacing w:after="0" w:line="240"/>
            </w:pPr>
            <w:r>
              <w:rPr>
                <w:sz w:val="18"/>
                <w:szCs w:val="18"/>
              </w:rPr>
              <w:t xml:space="preserve">L22</w:t>
            </w:r>
          </w:p>
        </w:tc>
        <w:tc>
          <w:tcPr>
            <w:tcW w:type="dxa" w:w="5200"/>
            <w:tcMar>
              <w:top w:type="dxa" w:w="50"/>
              <w:left w:type="dxa" w:w="90"/>
              <w:bottom w:type="dxa" w:w="50"/>
              <w:right w:type="dxa" w:w="90"/>
            </w:tcMar>
            <w:vAlign w:val="center"/>
          </w:tcPr>
          <w:p>
            <w:pPr>
              <w:spacing w:after="0" w:line="240"/>
            </w:pPr>
            <w:r>
              <w:rPr>
                <w:sz w:val="18"/>
                <w:szCs w:val="18"/>
              </w:rPr>
              <w:t xml:space="preserve">Workflow n8n cotations et devises planifiées.</w:t>
            </w:r>
          </w:p>
        </w:tc>
        <w:tc>
          <w:tcPr>
            <w:tcW w:type="dxa" w:w="1300"/>
            <w:tcMar>
              <w:top w:type="dxa" w:w="50"/>
              <w:left w:type="dxa" w:w="90"/>
              <w:bottom w:type="dxa" w:w="50"/>
              <w:right w:type="dxa" w:w="90"/>
            </w:tcMar>
            <w:vAlign w:val="center"/>
          </w:tcPr>
          <w:p>
            <w:pPr>
              <w:spacing w:after="0" w:line="240"/>
            </w:pPr>
            <w:r>
              <w:rPr>
                <w:sz w:val="18"/>
                <w:szCs w:val="18"/>
              </w:rPr>
              <w:t xml:space="preserve">L20</w:t>
            </w:r>
          </w:p>
        </w:tc>
        <w:tc>
          <w:tcPr>
            <w:tcW w:type="dxa" w:w="2438"/>
            <w:tcMar>
              <w:top w:type="dxa" w:w="50"/>
              <w:left w:type="dxa" w:w="90"/>
              <w:bottom w:type="dxa" w:w="50"/>
              <w:right w:type="dxa" w:w="90"/>
            </w:tcMar>
            <w:vAlign w:val="center"/>
          </w:tcPr>
          <w:p>
            <w:pPr>
              <w:spacing w:after="0" w:line="240"/>
            </w:pPr>
            <w:r>
              <w:rPr>
                <w:sz w:val="18"/>
                <w:szCs w:val="18"/>
              </w:rPr>
              <w:t xml:space="preserve">—</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L23</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Workflow n8n calendrier résultats / macro / SRD.</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L20</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w:t>
            </w:r>
          </w:p>
        </w:tc>
      </w:tr>
      <w:tr>
        <w:tc>
          <w:tcPr>
            <w:tcW w:type="dxa" w:w="700"/>
            <w:tcMar>
              <w:top w:type="dxa" w:w="50"/>
              <w:left w:type="dxa" w:w="90"/>
              <w:bottom w:type="dxa" w:w="50"/>
              <w:right w:type="dxa" w:w="90"/>
            </w:tcMar>
            <w:vAlign w:val="center"/>
          </w:tcPr>
          <w:p>
            <w:pPr>
              <w:spacing w:after="0" w:line="240"/>
            </w:pPr>
            <w:r>
              <w:rPr>
                <w:sz w:val="18"/>
                <w:szCs w:val="18"/>
              </w:rPr>
              <w:t xml:space="preserve">L24</w:t>
            </w:r>
          </w:p>
        </w:tc>
        <w:tc>
          <w:tcPr>
            <w:tcW w:type="dxa" w:w="5200"/>
            <w:tcMar>
              <w:top w:type="dxa" w:w="50"/>
              <w:left w:type="dxa" w:w="90"/>
              <w:bottom w:type="dxa" w:w="50"/>
              <w:right w:type="dxa" w:w="90"/>
            </w:tcMar>
            <w:vAlign w:val="center"/>
          </w:tcPr>
          <w:p>
            <w:pPr>
              <w:spacing w:after="0" w:line="240"/>
            </w:pPr>
            <w:r>
              <w:rPr>
                <w:sz w:val="18"/>
                <w:szCs w:val="18"/>
              </w:rPr>
              <w:t xml:space="preserve">Workflow n8n rapports et alertes planifiés (e-mail optionnel).</w:t>
            </w:r>
          </w:p>
        </w:tc>
        <w:tc>
          <w:tcPr>
            <w:tcW w:type="dxa" w:w="1300"/>
            <w:tcMar>
              <w:top w:type="dxa" w:w="50"/>
              <w:left w:type="dxa" w:w="90"/>
              <w:bottom w:type="dxa" w:w="50"/>
              <w:right w:type="dxa" w:w="90"/>
            </w:tcMar>
            <w:vAlign w:val="center"/>
          </w:tcPr>
          <w:p>
            <w:pPr>
              <w:spacing w:after="0" w:line="240"/>
            </w:pPr>
            <w:r>
              <w:rPr>
                <w:sz w:val="18"/>
                <w:szCs w:val="18"/>
              </w:rPr>
              <w:t xml:space="preserve">L20</w:t>
            </w:r>
          </w:p>
        </w:tc>
        <w:tc>
          <w:tcPr>
            <w:tcW w:type="dxa" w:w="2438"/>
            <w:tcMar>
              <w:top w:type="dxa" w:w="50"/>
              <w:left w:type="dxa" w:w="90"/>
              <w:bottom w:type="dxa" w:w="50"/>
              <w:right w:type="dxa" w:w="90"/>
            </w:tcMar>
            <w:vAlign w:val="center"/>
          </w:tcPr>
          <w:p>
            <w:pPr>
              <w:spacing w:after="0" w:line="240"/>
            </w:pPr>
            <w:r>
              <w:rPr>
                <w:sz w:val="18"/>
                <w:szCs w:val="18"/>
              </w:rPr>
              <w:t xml:space="preserve">—</w:t>
            </w:r>
          </w:p>
        </w:tc>
      </w:tr>
      <w:tr>
        <w:tc>
          <w:tcPr>
            <w:tcW w:type="dxa" w:w="700"/>
            <w:shd w:fill="F7F9FC" w:val="clear"/>
            <w:tcMar>
              <w:top w:type="dxa" w:w="50"/>
              <w:left w:type="dxa" w:w="90"/>
              <w:bottom w:type="dxa" w:w="50"/>
              <w:right w:type="dxa" w:w="90"/>
            </w:tcMar>
            <w:vAlign w:val="center"/>
          </w:tcPr>
          <w:p>
            <w:pPr>
              <w:spacing w:after="0" w:line="240"/>
            </w:pPr>
            <w:r>
              <w:rPr>
                <w:sz w:val="18"/>
                <w:szCs w:val="18"/>
              </w:rPr>
              <w:t xml:space="preserve">L25</w:t>
            </w:r>
          </w:p>
        </w:tc>
        <w:tc>
          <w:tcPr>
            <w:tcW w:type="dxa" w:w="5200"/>
            <w:shd w:fill="F7F9FC" w:val="clear"/>
            <w:tcMar>
              <w:top w:type="dxa" w:w="50"/>
              <w:left w:type="dxa" w:w="90"/>
              <w:bottom w:type="dxa" w:w="50"/>
              <w:right w:type="dxa" w:w="90"/>
            </w:tcMar>
            <w:vAlign w:val="center"/>
          </w:tcPr>
          <w:p>
            <w:pPr>
              <w:spacing w:after="0" w:line="240"/>
            </w:pPr>
            <w:r>
              <w:rPr>
                <w:sz w:val="18"/>
                <w:szCs w:val="18"/>
              </w:rPr>
              <w:t xml:space="preserve">Recette parallèle finale, bascule workflow par workflow, mode manuel garanti.</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L21–L24</w:t>
            </w:r>
          </w:p>
        </w:tc>
        <w:tc>
          <w:tcPr>
            <w:tcW w:type="dxa" w:w="2438"/>
            <w:shd w:fill="F7F9FC" w:val="clear"/>
            <w:tcMar>
              <w:top w:type="dxa" w:w="50"/>
              <w:left w:type="dxa" w:w="90"/>
              <w:bottom w:type="dxa" w:w="50"/>
              <w:right w:type="dxa" w:w="90"/>
            </w:tcMar>
            <w:vAlign w:val="center"/>
          </w:tcPr>
          <w:p>
            <w:pPr>
              <w:spacing w:after="0" w:line="240"/>
            </w:pPr>
            <w:r>
              <w:rPr>
                <w:sz w:val="18"/>
                <w:szCs w:val="18"/>
              </w:rPr>
              <w:t xml:space="preserve">FR-221 ; REC-36</w:t>
            </w:r>
          </w:p>
        </w:tc>
      </w:tr>
    </w:tbl>
    <w:p>
      <w:pPr>
        <w:pStyle w:val="Heading2"/>
        <w:spacing w:after="120" w:before="240"/>
      </w:pPr>
      <w:r>
        <w:t xml:space="preserve">15.3 Conditions de passage de la phase 1 à la phase 2</w:t>
      </w:r>
    </w:p>
    <w:p>
      <w:pPr>
        <w:pStyle w:val="ListParagraph"/>
        <w:numPr>
          <w:ilvl w:val="0"/>
          <w:numId w:val="2"/>
        </w:numPr>
        <w:spacing w:after="60" w:line="264"/>
      </w:pPr>
      <w:r>
        <w:t xml:space="preserve">Au moins 20 sessions quotidiennes manuelles réussies, sans duplication, rapprochement validé.</w:t>
      </w:r>
    </w:p>
    <w:p>
      <w:pPr>
        <w:pStyle w:val="ListParagraph"/>
        <w:numPr>
          <w:ilvl w:val="0"/>
          <w:numId w:val="2"/>
        </w:numPr>
        <w:spacing w:after="60" w:line="264"/>
      </w:pPr>
      <w:r>
        <w:t xml:space="preserve">Aucune anomalie critique non résolue ; rapprochement dans la tolérance.</w:t>
      </w:r>
    </w:p>
    <w:p>
      <w:pPr>
        <w:pStyle w:val="ListParagraph"/>
        <w:numPr>
          <w:ilvl w:val="0"/>
          <w:numId w:val="2"/>
        </w:numPr>
        <w:spacing w:after="60" w:line="264"/>
      </w:pPr>
      <w:r>
        <w:t xml:space="preserve">API versionnée, tests automatisés passants, contrats gelés pour les premiers workflows.</w:t>
      </w:r>
    </w:p>
    <w:p>
      <w:pPr>
        <w:pStyle w:val="ListParagraph"/>
        <w:numPr>
          <w:ilvl w:val="0"/>
          <w:numId w:val="2"/>
        </w:numPr>
        <w:spacing w:after="60" w:line="264"/>
      </w:pPr>
      <w:r>
        <w:t xml:space="preserve">Restauration de la base et des fichiers bruts testée avant tout lancement automatisé.</w:t>
      </w:r>
    </w:p>
    <w:p>
      <w:pPr>
        <w:pStyle w:val="ListParagraph"/>
        <w:numPr>
          <w:ilvl w:val="0"/>
          <w:numId w:val="2"/>
        </w:numPr>
        <w:spacing w:after="60" w:line="264"/>
      </w:pPr>
      <w:r>
        <w:t xml:space="preserve">Logs, identifiants de corrélation, écran des jobs et procédure de reprise documentés.</w:t>
      </w:r>
    </w:p>
    <w:p>
      <w:pPr>
        <w:pStyle w:val="ListParagraph"/>
        <w:numPr>
          <w:ilvl w:val="0"/>
          <w:numId w:val="2"/>
        </w:numPr>
        <w:spacing w:after="60" w:line="264"/>
      </w:pPr>
      <w:r>
        <w:t xml:space="preserve">Chaque workflow n8n fonctionne d’abord en parallèle du processus manuel, puis est activé explicitement.</w:t>
      </w:r>
    </w:p>
    <w:tbl>
      <w:tblPr>
        <w:tblW w:type="dxa" w:w="9638"/>
        <w:tblBorders>
          <w:top w:val="single" w:color="BFBFBF" w:sz="4"/>
          <w:left w:val="single" w:color="1F3864" w:sz="18"/>
          <w:bottom w:val="single" w:color="BFBFBF" w:sz="4"/>
          <w:right w:val="single" w:color="BFBFBF" w:sz="4"/>
          <w:insideH w:val="single" w:color="BFBFBF" w:sz="4"/>
          <w:insideV w:val="single" w:color="BFBFBF" w:sz="4"/>
        </w:tblBorders>
      </w:tblPr>
      <w:tblGrid>
        <w:gridCol w:w="9638"/>
      </w:tblGrid>
      <w:tr>
        <w:tc>
          <w:tcPr>
            <w:tcW w:type="dxa" w:w="9638"/>
            <w:shd w:fill="EDF1F8" w:val="clear"/>
            <w:tcMar>
              <w:top w:type="dxa" w:w="90"/>
              <w:left w:type="dxa" w:w="140"/>
              <w:bottom w:type="dxa" w:w="90"/>
              <w:right w:type="dxa" w:w="140"/>
            </w:tcMar>
          </w:tcPr>
          <w:p>
            <w:pPr>
              <w:spacing w:after="40" w:before="0" w:line="264"/>
            </w:pPr>
            <w:r>
              <w:rPr>
                <w:b/>
                <w:bCs/>
                <w:color w:val="1F3864"/>
              </w:rPr>
              <w:t xml:space="preserve">Règle de transition</w:t>
            </w:r>
          </w:p>
          <w:p>
            <w:pPr>
              <w:spacing w:after="0" w:before="0" w:line="264"/>
            </w:pPr>
            <w:r>
              <w:t xml:space="preserve">La phase 2 n’est pas un nouveau produit : elle automatise le produit validé en phase 1. Aucun workflow n8n ne réimplémente une règle métier déjà présente dans FastAPI, et le mode manuel reste le mode de secours permanent.</w:t>
            </w:r>
          </w:p>
        </w:tc>
      </w:tr>
    </w:tbl>
    <w:p>
      <w:r>
        <w:br w:type="page"/>
      </w:r>
    </w:p>
    <w:p>
      <w:pPr>
        <w:pStyle w:val="Heading1"/>
        <w:spacing w:after="140" w:before="300"/>
      </w:pPr>
      <w:r>
        <w:t xml:space="preserve">16. Décisions par défaut</w:t>
      </w:r>
    </w:p>
    <w:p>
      <w:pPr>
        <w:spacing w:after="100" w:before="0" w:line="264"/>
      </w:pPr>
      <w:r>
        <w:t xml:space="preserve">Principe : le développement ne s’arrête jamais sur une question ouverte. Chaque sujet ci-dessous possède une valeur par défaut applicable immédiatement. Toute révision passe par une entrée D-xxx dans docs/specs/90-decisions.md (§2.8) ; l’agent n’applique jamais une autre valeur de sa propre initiative.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238"/>
      </w:tblGrid>
      <w:tr>
        <w:trPr>
          <w:tblHeader/>
        </w:trPr>
        <w:tc>
          <w:tcPr>
            <w:tcW w:type="dxa" w:w="2400"/>
            <w:shd w:fill="1F3864" w:val="clear"/>
            <w:tcMar>
              <w:top w:type="dxa" w:w="50"/>
              <w:left w:type="dxa" w:w="90"/>
              <w:bottom w:type="dxa" w:w="50"/>
              <w:right w:type="dxa" w:w="90"/>
            </w:tcMar>
            <w:vAlign w:val="center"/>
          </w:tcPr>
          <w:p>
            <w:pPr>
              <w:spacing w:after="0" w:line="240"/>
            </w:pPr>
            <w:r>
              <w:rPr>
                <w:b/>
                <w:bCs/>
                <w:color w:val="FFFFFF"/>
                <w:sz w:val="18"/>
                <w:szCs w:val="18"/>
              </w:rPr>
              <w:t xml:space="preserve">Sujet</w:t>
            </w:r>
          </w:p>
        </w:tc>
        <w:tc>
          <w:tcPr>
            <w:tcW w:type="dxa" w:w="7238"/>
            <w:shd w:fill="1F3864" w:val="clear"/>
            <w:tcMar>
              <w:top w:type="dxa" w:w="50"/>
              <w:left w:type="dxa" w:w="90"/>
              <w:bottom w:type="dxa" w:w="50"/>
              <w:right w:type="dxa" w:w="90"/>
            </w:tcMar>
            <w:vAlign w:val="center"/>
          </w:tcPr>
          <w:p>
            <w:pPr>
              <w:spacing w:after="0" w:line="240"/>
            </w:pPr>
            <w:r>
              <w:rPr>
                <w:b/>
                <w:bCs/>
                <w:color w:val="FFFFFF"/>
                <w:sz w:val="18"/>
                <w:szCs w:val="18"/>
              </w:rPr>
              <w:t xml:space="preserve">Défaut retenu (v2.0)</w:t>
            </w:r>
          </w:p>
        </w:tc>
      </w:tr>
      <w:tr>
        <w:tc>
          <w:tcPr>
            <w:tcW w:type="dxa" w:w="2400"/>
            <w:tcMar>
              <w:top w:type="dxa" w:w="50"/>
              <w:left w:type="dxa" w:w="90"/>
              <w:bottom w:type="dxa" w:w="50"/>
              <w:right w:type="dxa" w:w="90"/>
            </w:tcMar>
            <w:vAlign w:val="center"/>
          </w:tcPr>
          <w:p>
            <w:pPr>
              <w:spacing w:after="0" w:line="240"/>
            </w:pPr>
            <w:r>
              <w:rPr>
                <w:sz w:val="18"/>
                <w:szCs w:val="18"/>
              </w:rPr>
              <w:t xml:space="preserve">Système hôte</w:t>
            </w:r>
          </w:p>
        </w:tc>
        <w:tc>
          <w:tcPr>
            <w:tcW w:type="dxa" w:w="7238"/>
            <w:tcMar>
              <w:top w:type="dxa" w:w="50"/>
              <w:left w:type="dxa" w:w="90"/>
              <w:bottom w:type="dxa" w:w="50"/>
              <w:right w:type="dxa" w:w="90"/>
            </w:tcMar>
            <w:vAlign w:val="center"/>
          </w:tcPr>
          <w:p>
            <w:pPr>
              <w:spacing w:after="0" w:line="240"/>
            </w:pPr>
            <w:r>
              <w:rPr>
                <w:sz w:val="18"/>
                <w:szCs w:val="18"/>
              </w:rPr>
              <w:t xml:space="preserve">Indifférent : tout passe par Docker Compose ; la recette de référence s’effectue sur la machine principale de l’utilisateur.</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Accès</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localhost uniquement en phase 1 ; l’ouverture au réseau domestique est une décision séparée (jamais implicite).</w:t>
            </w:r>
          </w:p>
        </w:tc>
      </w:tr>
      <w:tr>
        <w:tc>
          <w:tcPr>
            <w:tcW w:type="dxa" w:w="2400"/>
            <w:tcMar>
              <w:top w:type="dxa" w:w="50"/>
              <w:left w:type="dxa" w:w="90"/>
              <w:bottom w:type="dxa" w:w="50"/>
              <w:right w:type="dxa" w:w="90"/>
            </w:tcMar>
            <w:vAlign w:val="center"/>
          </w:tcPr>
          <w:p>
            <w:pPr>
              <w:spacing w:after="0" w:line="240"/>
            </w:pPr>
            <w:r>
              <w:rPr>
                <w:sz w:val="18"/>
                <w:szCs w:val="18"/>
              </w:rPr>
              <w:t xml:space="preserve">Données de marché</w:t>
            </w:r>
          </w:p>
        </w:tc>
        <w:tc>
          <w:tcPr>
            <w:tcW w:type="dxa" w:w="7238"/>
            <w:tcMar>
              <w:top w:type="dxa" w:w="50"/>
              <w:left w:type="dxa" w:w="90"/>
              <w:bottom w:type="dxa" w:w="50"/>
              <w:right w:type="dxa" w:w="90"/>
            </w:tcMar>
            <w:vAlign w:val="center"/>
          </w:tcPr>
          <w:p>
            <w:pPr>
              <w:spacing w:after="0" w:line="240"/>
            </w:pPr>
            <w:r>
              <w:rPr>
                <w:sz w:val="18"/>
                <w:szCs w:val="18"/>
              </w:rPr>
              <w:t xml:space="preserve">Phase 1 : CSV Euronext déposés manuellement (différé). Phase 2 : interface DataProvider configurable ; aucun fournisseur codé en dur, aucun scraping.</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IA</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Aucune IA dans le MVP. Adaptateur optionnel ultérieur (Ollama local ou API activée explicitement), jamais dans la chaîne de calcul.</w:t>
            </w:r>
          </w:p>
        </w:tc>
      </w:tr>
      <w:tr>
        <w:tc>
          <w:tcPr>
            <w:tcW w:type="dxa" w:w="2400"/>
            <w:tcMar>
              <w:top w:type="dxa" w:w="50"/>
              <w:left w:type="dxa" w:w="90"/>
              <w:bottom w:type="dxa" w:w="50"/>
              <w:right w:type="dxa" w:w="90"/>
            </w:tcMar>
            <w:vAlign w:val="center"/>
          </w:tcPr>
          <w:p>
            <w:pPr>
              <w:spacing w:after="0" w:line="240"/>
            </w:pPr>
            <w:r>
              <w:rPr>
                <w:sz w:val="18"/>
                <w:szCs w:val="18"/>
              </w:rPr>
              <w:t xml:space="preserve">Fiscalité</w:t>
            </w:r>
          </w:p>
        </w:tc>
        <w:tc>
          <w:tcPr>
            <w:tcW w:type="dxa" w:w="7238"/>
            <w:tcMar>
              <w:top w:type="dxa" w:w="50"/>
              <w:left w:type="dxa" w:w="90"/>
              <w:bottom w:type="dxa" w:w="50"/>
              <w:right w:type="dxa" w:w="90"/>
            </w:tcMar>
            <w:vAlign w:val="center"/>
          </w:tcPr>
          <w:p>
            <w:pPr>
              <w:spacing w:after="0" w:line="240"/>
            </w:pPr>
            <w:r>
              <w:rPr>
                <w:sz w:val="18"/>
                <w:szCs w:val="18"/>
              </w:rPr>
              <w:t xml:space="preserve">Estimation de gestion : PFU 30 % sur CTO, régime PEA simplifié selon ancienneté ; toujours marquée « estimatif ».</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Alertes</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Interface uniquement en phase 1 ; e-mail en phase 2 (lot L24).</w:t>
            </w:r>
          </w:p>
        </w:tc>
      </w:tr>
      <w:tr>
        <w:tc>
          <w:tcPr>
            <w:tcW w:type="dxa" w:w="2400"/>
            <w:tcMar>
              <w:top w:type="dxa" w:w="50"/>
              <w:left w:type="dxa" w:w="90"/>
              <w:bottom w:type="dxa" w:w="50"/>
              <w:right w:type="dxa" w:w="90"/>
            </w:tcMar>
            <w:vAlign w:val="center"/>
          </w:tcPr>
          <w:p>
            <w:pPr>
              <w:spacing w:after="0" w:line="240"/>
            </w:pPr>
            <w:r>
              <w:rPr>
                <w:sz w:val="18"/>
                <w:szCs w:val="18"/>
              </w:rPr>
              <w:t xml:space="preserve">Sauvegarde</w:t>
            </w:r>
          </w:p>
        </w:tc>
        <w:tc>
          <w:tcPr>
            <w:tcW w:type="dxa" w:w="7238"/>
            <w:tcMar>
              <w:top w:type="dxa" w:w="50"/>
              <w:left w:type="dxa" w:w="90"/>
              <w:bottom w:type="dxa" w:w="50"/>
              <w:right w:type="dxa" w:w="90"/>
            </w:tcMar>
            <w:vAlign w:val="center"/>
          </w:tcPr>
          <w:p>
            <w:pPr>
              <w:spacing w:after="0" w:line="240"/>
            </w:pPr>
            <w:r>
              <w:rPr>
                <w:sz w:val="18"/>
                <w:szCs w:val="18"/>
              </w:rPr>
              <w:t xml:space="preserve">pg_dump + archive de data/ chiffrée, quotidienne (manuelle en phase 1, planifiée en phase 2) ; test de restauration mensuel.</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Portée patrimoniale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Suivi de soldes uniquement (pas d’historique complet des flux de trésorerie dans le MVP).</w:t>
            </w:r>
          </w:p>
        </w:tc>
      </w:tr>
      <w:tr>
        <w:tc>
          <w:tcPr>
            <w:tcW w:type="dxa" w:w="2400"/>
            <w:tcMar>
              <w:top w:type="dxa" w:w="50"/>
              <w:left w:type="dxa" w:w="90"/>
              <w:bottom w:type="dxa" w:w="50"/>
              <w:right w:type="dxa" w:w="90"/>
            </w:tcMar>
            <w:vAlign w:val="center"/>
          </w:tcPr>
          <w:p>
            <w:pPr>
              <w:spacing w:after="0" w:line="240"/>
            </w:pPr>
            <w:r>
              <w:rPr>
                <w:sz w:val="18"/>
                <w:szCs w:val="18"/>
              </w:rPr>
              <w:t xml:space="preserve">Heat</w:t>
            </w:r>
          </w:p>
        </w:tc>
        <w:tc>
          <w:tcPr>
            <w:tcW w:type="dxa" w:w="7238"/>
            <w:tcMar>
              <w:top w:type="dxa" w:w="50"/>
              <w:left w:type="dxa" w:w="90"/>
              <w:bottom w:type="dxa" w:w="50"/>
              <w:right w:type="dxa" w:w="90"/>
            </w:tcMar>
            <w:vAlign w:val="center"/>
          </w:tcPr>
          <w:p>
            <w:pPr>
              <w:spacing w:after="0" w:line="240"/>
            </w:pPr>
            <w:r>
              <w:rPr>
                <w:sz w:val="18"/>
                <w:szCs w:val="18"/>
              </w:rPr>
              <w:t xml:space="preserve">Plafond 1 400 € par défaut ; 700 € automatiquement pendant une fenêtre no-go macro. Valeurs versionnées (RiskBudgetVersion).</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Grade A</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Score ≥ 75 ET catalyseur daté ET aucune publication de l’émetteur dans les 5 prochaines séances ET validation explicite horodatée.</w:t>
            </w:r>
          </w:p>
        </w:tc>
      </w:tr>
      <w:tr>
        <w:tc>
          <w:tcPr>
            <w:tcW w:type="dxa" w:w="2400"/>
            <w:tcMar>
              <w:top w:type="dxa" w:w="50"/>
              <w:left w:type="dxa" w:w="90"/>
              <w:bottom w:type="dxa" w:w="50"/>
              <w:right w:type="dxa" w:w="90"/>
            </w:tcMar>
            <w:vAlign w:val="center"/>
          </w:tcPr>
          <w:p>
            <w:pPr>
              <w:spacing w:after="0" w:line="240"/>
            </w:pPr>
            <w:r>
              <w:rPr>
                <w:sz w:val="18"/>
                <w:szCs w:val="18"/>
              </w:rPr>
              <w:t xml:space="preserve">No-go permanents</w:t>
            </w:r>
          </w:p>
        </w:tc>
        <w:tc>
          <w:tcPr>
            <w:tcW w:type="dxa" w:w="7238"/>
            <w:tcMar>
              <w:top w:type="dxa" w:w="50"/>
              <w:left w:type="dxa" w:w="90"/>
              <w:bottom w:type="dxa" w:w="50"/>
              <w:right w:type="dxa" w:w="90"/>
            </w:tcMar>
            <w:vAlign w:val="center"/>
          </w:tcPr>
          <w:p>
            <w:pPr>
              <w:spacing w:after="0" w:line="240"/>
            </w:pPr>
            <w:r>
              <w:rPr>
                <w:sz w:val="18"/>
                <w:szCs w:val="18"/>
              </w:rPr>
              <w:t xml:space="preserve">FOMC et BCE (J−1 → J) : aucun SRD ouvert. Publication de l’émetteur (J−1 → J) : aucune entrée SRD. Listes et durées paramétrables.</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DCA</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WPEA ≈ 2 700 €/mois + PAEEM ≈ 300 €/mois (90/10), ordres après 15h30 Paris ; montants paramétrables.</w:t>
            </w:r>
          </w:p>
        </w:tc>
      </w:tr>
      <w:tr>
        <w:tc>
          <w:tcPr>
            <w:tcW w:type="dxa" w:w="2400"/>
            <w:tcMar>
              <w:top w:type="dxa" w:w="50"/>
              <w:left w:type="dxa" w:w="90"/>
              <w:bottom w:type="dxa" w:w="50"/>
              <w:right w:type="dxa" w:w="90"/>
            </w:tcMar>
            <w:vAlign w:val="center"/>
          </w:tcPr>
          <w:p>
            <w:pPr>
              <w:spacing w:after="0" w:line="240"/>
            </w:pPr>
            <w:r>
              <w:rPr>
                <w:sz w:val="18"/>
                <w:szCs w:val="18"/>
              </w:rPr>
              <w:t xml:space="preserve">Fuseau horaire</w:t>
            </w:r>
          </w:p>
        </w:tc>
        <w:tc>
          <w:tcPr>
            <w:tcW w:type="dxa" w:w="7238"/>
            <w:tcMar>
              <w:top w:type="dxa" w:w="50"/>
              <w:left w:type="dxa" w:w="90"/>
              <w:bottom w:type="dxa" w:w="50"/>
              <w:right w:type="dxa" w:w="90"/>
            </w:tcMar>
            <w:vAlign w:val="center"/>
          </w:tcPr>
          <w:p>
            <w:pPr>
              <w:spacing w:after="0" w:line="240"/>
            </w:pPr>
            <w:r>
              <w:rPr>
                <w:sz w:val="18"/>
                <w:szCs w:val="18"/>
              </w:rPr>
              <w:t xml:space="preserve">Stockage UTC ; affichage Europe/Paris par défaut (option Indian/Reunion).</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Tolérance de rapprochement</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1 € ou 0,1 %, le plus favorable ; paramétrable.</w:t>
            </w:r>
          </w:p>
        </w:tc>
      </w:tr>
      <w:tr>
        <w:tc>
          <w:tcPr>
            <w:tcW w:type="dxa" w:w="2400"/>
            <w:tcMar>
              <w:top w:type="dxa" w:w="50"/>
              <w:left w:type="dxa" w:w="90"/>
              <w:bottom w:type="dxa" w:w="50"/>
              <w:right w:type="dxa" w:w="90"/>
            </w:tcMar>
            <w:vAlign w:val="center"/>
          </w:tcPr>
          <w:p>
            <w:pPr>
              <w:spacing w:after="0" w:line="240"/>
            </w:pPr>
            <w:r>
              <w:rPr>
                <w:sz w:val="18"/>
                <w:szCs w:val="18"/>
              </w:rPr>
              <w:t xml:space="preserve">Marchés autorisés</w:t>
            </w:r>
          </w:p>
        </w:tc>
        <w:tc>
          <w:tcPr>
            <w:tcW w:type="dxa" w:w="7238"/>
            <w:tcMar>
              <w:top w:type="dxa" w:w="50"/>
              <w:left w:type="dxa" w:w="90"/>
              <w:bottom w:type="dxa" w:w="50"/>
              <w:right w:type="dxa" w:w="90"/>
            </w:tcMar>
            <w:vAlign w:val="center"/>
          </w:tcPr>
          <w:p>
            <w:pPr>
              <w:spacing w:after="0" w:line="240"/>
            </w:pPr>
            <w:r>
              <w:rPr>
                <w:sz w:val="18"/>
                <w:szCs w:val="18"/>
              </w:rPr>
              <w:t xml:space="preserve">Euronext Paris/Amsterdam/Bruxelles/Lisbonne/Milan, Xetra, SIX, LSE, BME, Nasdaq, NYSE. Toute autre place exige une décision D-xxx.</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Place de référence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Place principale de l’émetteur (marché du pays du siège social). Toute autre cotation est une ligne secondaire, non valorisée séparément.</w:t>
            </w:r>
          </w:p>
        </w:tc>
      </w:tr>
      <w:tr>
        <w:tc>
          <w:tcPr>
            <w:tcW w:type="dxa" w:w="2400"/>
            <w:tcMar>
              <w:top w:type="dxa" w:w="50"/>
              <w:left w:type="dxa" w:w="90"/>
              <w:bottom w:type="dxa" w:w="50"/>
              <w:right w:type="dxa" w:w="90"/>
            </w:tcMar>
            <w:vAlign w:val="center"/>
          </w:tcPr>
          <w:p>
            <w:pPr>
              <w:spacing w:after="0" w:line="240"/>
            </w:pPr>
            <w:r>
              <w:rPr>
                <w:sz w:val="18"/>
                <w:szCs w:val="18"/>
              </w:rPr>
              <w:t xml:space="preserve">SRD et levier</w:t>
            </w:r>
          </w:p>
        </w:tc>
        <w:tc>
          <w:tcPr>
            <w:tcW w:type="dxa" w:w="7238"/>
            <w:tcMar>
              <w:top w:type="dxa" w:w="50"/>
              <w:left w:type="dxa" w:w="90"/>
              <w:bottom w:type="dxa" w:w="50"/>
              <w:right w:type="dxa" w:w="90"/>
            </w:tcMar>
            <w:vAlign w:val="center"/>
          </w:tcPr>
          <w:p>
            <w:pPr>
              <w:spacing w:after="0" w:line="240"/>
            </w:pPr>
            <w:r>
              <w:rPr>
                <w:sz w:val="18"/>
                <w:szCs w:val="18"/>
              </w:rPr>
              <w:t xml:space="preserve">Limités à Euronext Paris. Aucun effet de levier sur les marchés étrangers dans le MVP, sans dérogation possible.</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Séances</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Séance principale uniquement : ni pre-market ni after-hours américains, ni cotation, ni valorisation, ni recommandation.</w:t>
            </w:r>
          </w:p>
        </w:tc>
      </w:tr>
      <w:tr>
        <w:tc>
          <w:tcPr>
            <w:tcW w:type="dxa" w:w="2400"/>
            <w:tcMar>
              <w:top w:type="dxa" w:w="50"/>
              <w:left w:type="dxa" w:w="90"/>
              <w:bottom w:type="dxa" w:w="50"/>
              <w:right w:type="dxa" w:w="90"/>
            </w:tcMar>
            <w:vAlign w:val="center"/>
          </w:tcPr>
          <w:p>
            <w:pPr>
              <w:spacing w:after="0" w:line="240"/>
            </w:pPr>
            <w:r>
              <w:rPr>
                <w:sz w:val="18"/>
                <w:szCs w:val="18"/>
              </w:rPr>
              <w:t xml:space="preserve">Couverture de change</w:t>
            </w:r>
          </w:p>
        </w:tc>
        <w:tc>
          <w:tcPr>
            <w:tcW w:type="dxa" w:w="7238"/>
            <w:tcMar>
              <w:top w:type="dxa" w:w="50"/>
              <w:left w:type="dxa" w:w="90"/>
              <w:bottom w:type="dxa" w:w="50"/>
              <w:right w:type="dxa" w:w="90"/>
            </w:tcMar>
            <w:vAlign w:val="center"/>
          </w:tcPr>
          <w:p>
            <w:pPr>
              <w:spacing w:after="0" w:line="240"/>
            </w:pPr>
            <w:r>
              <w:rPr>
                <w:sz w:val="18"/>
                <w:szCs w:val="18"/>
              </w:rPr>
              <w:t xml:space="preserve">Aucune. L’exposition devise est mesurée et affichée ; elle n’est ni couverte ni simulée.</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Indices de gate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CAC 40 en France, STOXX Europe 600 (ou DAX pour un émetteur allemand) en zone euro hors France, FTSE 100 au Royaume-Uni, SMI en Suisse, S&amp;P 500 (Nasdaq 100 en technologie) aux États-Unis.</w:t>
            </w:r>
          </w:p>
        </w:tc>
      </w:tr>
      <w:tr>
        <w:tc>
          <w:tcPr>
            <w:tcW w:type="dxa" w:w="2400"/>
            <w:tcMar>
              <w:top w:type="dxa" w:w="50"/>
              <w:left w:type="dxa" w:w="90"/>
              <w:bottom w:type="dxa" w:w="50"/>
              <w:right w:type="dxa" w:w="90"/>
            </w:tcMar>
            <w:vAlign w:val="center"/>
          </w:tcPr>
          <w:p>
            <w:pPr>
              <w:spacing w:after="0" w:line="240"/>
            </w:pPr>
            <w:r>
              <w:rPr>
                <w:sz w:val="18"/>
                <w:szCs w:val="18"/>
              </w:rPr>
              <w:t xml:space="preserve">Retenue à la source</w:t>
            </w:r>
          </w:p>
        </w:tc>
        <w:tc>
          <w:tcPr>
            <w:tcW w:type="dxa" w:w="7238"/>
            <w:tcMar>
              <w:top w:type="dxa" w:w="50"/>
              <w:left w:type="dxa" w:w="90"/>
              <w:bottom w:type="dxa" w:w="50"/>
              <w:right w:type="dxa" w:w="90"/>
            </w:tcMar>
            <w:vAlign w:val="center"/>
          </w:tcPr>
          <w:p>
            <w:pPr>
              <w:spacing w:after="0" w:line="240"/>
            </w:pPr>
            <w:r>
              <w:rPr>
                <w:sz w:val="18"/>
                <w:szCs w:val="18"/>
              </w:rPr>
              <w:t xml:space="preserve">États-Unis 15 % (convention, W-8BEN supposé signé), Allemagne 26,375 %, Suisse 35 %, Royaume-Uni 0 %. Paramétrable, statut toujours estimatif.</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Stress de gap par zone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5 % en Europe, 8 % aux États-Unis, 10 % pour toute valeur avec publication dans les 5 séances. Paramétrable par place.</w:t>
            </w:r>
          </w:p>
        </w:tc>
      </w:tr>
      <w:tr>
        <w:tc>
          <w:tcPr>
            <w:tcW w:type="dxa" w:w="2400"/>
            <w:tcMar>
              <w:top w:type="dxa" w:w="50"/>
              <w:left w:type="dxa" w:w="90"/>
              <w:bottom w:type="dxa" w:w="50"/>
              <w:right w:type="dxa" w:w="90"/>
            </w:tcMar>
            <w:vAlign w:val="center"/>
          </w:tcPr>
          <w:p>
            <w:pPr>
              <w:spacing w:after="0" w:line="240"/>
            </w:pPr>
            <w:r>
              <w:rPr>
                <w:sz w:val="18"/>
                <w:szCs w:val="18"/>
              </w:rPr>
              <w:t xml:space="preserve">Fuseaux d’affichage</w:t>
            </w:r>
          </w:p>
        </w:tc>
        <w:tc>
          <w:tcPr>
            <w:tcW w:type="dxa" w:w="7238"/>
            <w:tcMar>
              <w:top w:type="dxa" w:w="50"/>
              <w:left w:type="dxa" w:w="90"/>
              <w:bottom w:type="dxa" w:w="50"/>
              <w:right w:type="dxa" w:w="90"/>
            </w:tcMar>
            <w:vAlign w:val="center"/>
          </w:tcPr>
          <w:p>
            <w:pPr>
              <w:spacing w:after="0" w:line="240"/>
            </w:pPr>
            <w:r>
              <w:rPr>
                <w:sz w:val="18"/>
                <w:szCs w:val="18"/>
              </w:rPr>
              <w:t xml:space="preserve">Heure de la place pour les données de marché, Europe/Paris pour le rituel et les échéances, UTC en base.</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Liquidité minimale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Position plafonnée à 5 % de l’ADV 20 séances ; seuil abaissé à 2 % hors zone euro. Paramétrable par place.</w:t>
            </w:r>
          </w:p>
        </w:tc>
      </w:tr>
      <w:tr>
        <w:tc>
          <w:tcPr>
            <w:tcW w:type="dxa" w:w="2400"/>
            <w:tcMar>
              <w:top w:type="dxa" w:w="50"/>
              <w:left w:type="dxa" w:w="90"/>
              <w:bottom w:type="dxa" w:w="50"/>
              <w:right w:type="dxa" w:w="90"/>
            </w:tcMar>
            <w:vAlign w:val="center"/>
          </w:tcPr>
          <w:p>
            <w:pPr>
              <w:spacing w:after="0" w:line="240"/>
            </w:pPr>
            <w:r>
              <w:rPr>
                <w:sz w:val="18"/>
                <w:szCs w:val="18"/>
              </w:rPr>
              <w:t xml:space="preserve">Stop suiveur</w:t>
            </w:r>
          </w:p>
        </w:tc>
        <w:tc>
          <w:tcPr>
            <w:tcW w:type="dxa" w:w="7238"/>
            <w:tcMar>
              <w:top w:type="dxa" w:w="50"/>
              <w:left w:type="dxa" w:w="90"/>
              <w:bottom w:type="dxa" w:w="50"/>
              <w:right w:type="dxa" w:w="90"/>
            </w:tcMar>
            <w:vAlign w:val="center"/>
          </w:tcPr>
          <w:p>
            <w:pPr>
              <w:spacing w:after="0" w:line="240"/>
            </w:pPr>
            <w:r>
              <w:rPr>
                <w:sz w:val="18"/>
                <w:szCs w:val="18"/>
              </w:rPr>
              <w:t xml:space="preserve">Dernier creux de consolidation sur 10 séances, tampon anti-mèche de 0,5 % ; à défaut de creux identifiable, 6 % sous le cours (bande admise 5–7 %).</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Base de rupture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Clôture pour toute ligne dont la marge de stop est inférieure à 5 %. L’ordre déposé chez le courtier reste intraday ; l’écart est signalé, jamais corrigé.</w:t>
            </w:r>
          </w:p>
        </w:tc>
      </w:tr>
      <w:tr>
        <w:tc>
          <w:tcPr>
            <w:tcW w:type="dxa" w:w="2400"/>
            <w:tcMar>
              <w:top w:type="dxa" w:w="50"/>
              <w:left w:type="dxa" w:w="90"/>
              <w:bottom w:type="dxa" w:w="50"/>
              <w:right w:type="dxa" w:w="90"/>
            </w:tcMar>
            <w:vAlign w:val="center"/>
          </w:tcPr>
          <w:p>
            <w:pPr>
              <w:spacing w:after="0" w:line="240"/>
            </w:pPr>
            <w:r>
              <w:rPr>
                <w:sz w:val="18"/>
                <w:szCs w:val="18"/>
              </w:rPr>
              <w:t xml:space="preserve">Allègements</w:t>
            </w:r>
          </w:p>
        </w:tc>
        <w:tc>
          <w:tcPr>
            <w:tcW w:type="dxa" w:w="7238"/>
            <w:tcMar>
              <w:top w:type="dxa" w:w="50"/>
              <w:left w:type="dxa" w:w="90"/>
              <w:bottom w:type="dxa" w:w="50"/>
              <w:right w:type="dxa" w:w="90"/>
            </w:tcMar>
            <w:vAlign w:val="center"/>
          </w:tcPr>
          <w:p>
            <w:pPr>
              <w:spacing w:after="0" w:line="240"/>
            </w:pPr>
            <w:r>
              <w:rPr>
                <w:sz w:val="18"/>
                <w:szCs w:val="18"/>
              </w:rPr>
              <w:t xml:space="preserve">Un tiers de la quantité restante proposé à l’objectif 1, un tiers à l’objectif 2, solde piloté au stop suiveur.</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Structure d’ordre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Stop unique par défaut, sans OCO — préférence exprimée en juillet 2026. À reconfirmer : des structures OCO avec prise de profit ont été discutées depuis (Amundi).</w:t>
            </w:r>
          </w:p>
        </w:tc>
      </w:tr>
      <w:tr>
        <w:tc>
          <w:tcPr>
            <w:tcW w:type="dxa" w:w="2400"/>
            <w:tcMar>
              <w:top w:type="dxa" w:w="50"/>
              <w:left w:type="dxa" w:w="90"/>
              <w:bottom w:type="dxa" w:w="50"/>
              <w:right w:type="dxa" w:w="90"/>
            </w:tcMar>
            <w:vAlign w:val="center"/>
          </w:tcPr>
          <w:p>
            <w:pPr>
              <w:spacing w:after="0" w:line="240"/>
            </w:pPr>
            <w:r>
              <w:rPr>
                <w:sz w:val="18"/>
                <w:szCs w:val="18"/>
              </w:rPr>
              <w:t xml:space="preserve">Rotation</w:t>
            </w:r>
          </w:p>
        </w:tc>
        <w:tc>
          <w:tcPr>
            <w:tcW w:type="dxa" w:w="7238"/>
            <w:tcMar>
              <w:top w:type="dxa" w:w="50"/>
              <w:left w:type="dxa" w:w="90"/>
              <w:bottom w:type="dxa" w:w="50"/>
              <w:right w:type="dxa" w:w="90"/>
            </w:tcMar>
            <w:vAlign w:val="center"/>
          </w:tcPr>
          <w:p>
            <w:pPr>
              <w:spacing w:after="0" w:line="240"/>
            </w:pPr>
            <w:r>
              <w:rPr>
                <w:sz w:val="18"/>
                <w:szCs w:val="18"/>
              </w:rPr>
              <w:t xml:space="preserve">Écart de score ≥ 15 points en faveur du candidat, momentum relatif négatif sur 20 séances, aucun catalyseur daté sous 3 séances.</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Sources de signaux</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Six sources déclarées : Momentum Capital, Zone Bourse, Investor’s Business Daily, Barron’s Daily, MarketBeat Daily, BambooSignal. Le mapping vers les composantes du score est fixé au §6.20 et versionné.</w:t>
            </w:r>
          </w:p>
        </w:tc>
      </w:tr>
      <w:tr>
        <w:tc>
          <w:tcPr>
            <w:tcW w:type="dxa" w:w="2400"/>
            <w:tcMar>
              <w:top w:type="dxa" w:w="50"/>
              <w:left w:type="dxa" w:w="90"/>
              <w:bottom w:type="dxa" w:w="50"/>
              <w:right w:type="dxa" w:w="90"/>
            </w:tcMar>
            <w:vAlign w:val="center"/>
          </w:tcPr>
          <w:p>
            <w:pPr>
              <w:spacing w:after="0" w:line="240"/>
            </w:pPr>
            <w:r>
              <w:rPr>
                <w:sz w:val="18"/>
                <w:szCs w:val="18"/>
              </w:rPr>
              <w:t xml:space="preserve">Anti-double-comptage</w:t>
            </w:r>
          </w:p>
        </w:tc>
        <w:tc>
          <w:tcPr>
            <w:tcW w:type="dxa" w:w="7238"/>
            <w:tcMar>
              <w:top w:type="dxa" w:w="50"/>
              <w:left w:type="dxa" w:w="90"/>
              <w:bottom w:type="dxa" w:w="50"/>
              <w:right w:type="dxa" w:w="90"/>
            </w:tcMar>
            <w:vAlign w:val="center"/>
          </w:tcPr>
          <w:p>
            <w:pPr>
              <w:spacing w:after="0" w:line="240"/>
            </w:pPr>
            <w:r>
              <w:rPr>
                <w:sz w:val="18"/>
                <w:szCs w:val="18"/>
              </w:rPr>
              <w:t xml:space="preserve">Un même fait ne contribue qu’une fois, plafonné à la source la plus proche du fait (émetteur &gt; agrégateur &gt; éditorial), sur une fenêtre de 5 séances.</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Source non caractérisée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Statut WATCH uniquement : aucune contribution au score, aucun armement de scénario. S’applique à BambooSignal jusqu’à documentation de son format au lot L14.</w:t>
            </w:r>
          </w:p>
        </w:tc>
      </w:tr>
      <w:tr>
        <w:tc>
          <w:tcPr>
            <w:tcW w:type="dxa" w:w="2400"/>
            <w:tcMar>
              <w:top w:type="dxa" w:w="50"/>
              <w:left w:type="dxa" w:w="90"/>
              <w:bottom w:type="dxa" w:w="50"/>
              <w:right w:type="dxa" w:w="90"/>
            </w:tcMar>
            <w:vAlign w:val="center"/>
          </w:tcPr>
          <w:p>
            <w:pPr>
              <w:spacing w:after="0" w:line="240"/>
            </w:pPr>
            <w:r>
              <w:rPr>
                <w:sz w:val="18"/>
                <w:szCs w:val="18"/>
              </w:rPr>
              <w:t xml:space="preserve">Gate américain</w:t>
            </w:r>
          </w:p>
        </w:tc>
        <w:tc>
          <w:tcPr>
            <w:tcW w:type="dxa" w:w="7238"/>
            <w:tcMar>
              <w:top w:type="dxa" w:w="50"/>
              <w:left w:type="dxa" w:w="90"/>
              <w:bottom w:type="dxa" w:w="50"/>
              <w:right w:type="dxa" w:w="90"/>
            </w:tcMar>
            <w:vAlign w:val="center"/>
          </w:tcPr>
          <w:p>
            <w:pPr>
              <w:spacing w:after="0" w:line="240"/>
            </w:pPr>
            <w:r>
              <w:rPr>
                <w:sz w:val="18"/>
                <w:szCs w:val="18"/>
              </w:rPr>
              <w:t xml:space="preserve">Cumul obligatoire : seuil S&amp;P 500 ET état de marché IBD. Pas d’achat en marché déclaré en correction ; demi-taille en marché sous pression.</w:t>
            </w:r>
          </w:p>
        </w:tc>
      </w:tr>
    </w:tbl>
    <w:p>
      <w:r>
        <w:br w:type="page"/>
      </w:r>
    </w:p>
    <w:p>
      <w:pPr>
        <w:pStyle w:val="Heading1"/>
        <w:spacing w:after="140" w:before="300"/>
      </w:pPr>
      <w:r>
        <w:t xml:space="preserve">Annexe A — Matrice des exigences et traçabilité</w:t>
      </w:r>
    </w:p>
    <w:p>
      <w:pPr>
        <w:spacing w:after="100" w:before="0" w:line="264"/>
      </w:pPr>
      <w:r>
        <w:t xml:space="preserve">Les identifiants sont stables et référencés dans les commits, docstrings et tests. Priorités : MUST / SHOULD / COULD.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1000"/>
        <w:gridCol w:w="6338"/>
        <w:gridCol w:w="1300"/>
      </w:tblGrid>
      <w:tr>
        <w:trPr>
          <w:tblHeader/>
        </w:trPr>
        <w:tc>
          <w:tcPr>
            <w:tcW w:type="dxa" w:w="1000"/>
            <w:shd w:fill="1F3864" w:val="clear"/>
            <w:tcMar>
              <w:top w:type="dxa" w:w="50"/>
              <w:left w:type="dxa" w:w="90"/>
              <w:bottom w:type="dxa" w:w="50"/>
              <w:right w:type="dxa" w:w="90"/>
            </w:tcMar>
            <w:vAlign w:val="center"/>
          </w:tcPr>
          <w:p>
            <w:pPr>
              <w:spacing w:after="0" w:line="240"/>
            </w:pPr>
            <w:r>
              <w:rPr>
                <w:b/>
                <w:bCs/>
                <w:color w:val="FFFFFF"/>
                <w:sz w:val="18"/>
                <w:szCs w:val="18"/>
              </w:rPr>
              <w:t xml:space="preserve">ID</w:t>
            </w:r>
          </w:p>
        </w:tc>
        <w:tc>
          <w:tcPr>
            <w:tcW w:type="dxa" w:w="1000"/>
            <w:shd w:fill="1F3864" w:val="clear"/>
            <w:tcMar>
              <w:top w:type="dxa" w:w="50"/>
              <w:left w:type="dxa" w:w="90"/>
              <w:bottom w:type="dxa" w:w="50"/>
              <w:right w:type="dxa" w:w="90"/>
            </w:tcMar>
            <w:vAlign w:val="center"/>
          </w:tcPr>
          <w:p>
            <w:pPr>
              <w:spacing w:after="0" w:line="240"/>
            </w:pPr>
            <w:r>
              <w:rPr>
                <w:b/>
                <w:bCs/>
                <w:color w:val="FFFFFF"/>
                <w:sz w:val="18"/>
                <w:szCs w:val="18"/>
              </w:rPr>
              <w:t xml:space="preserve">Prio.</w:t>
            </w:r>
          </w:p>
        </w:tc>
        <w:tc>
          <w:tcPr>
            <w:tcW w:type="dxa" w:w="6338"/>
            <w:shd w:fill="1F3864" w:val="clear"/>
            <w:tcMar>
              <w:top w:type="dxa" w:w="50"/>
              <w:left w:type="dxa" w:w="90"/>
              <w:bottom w:type="dxa" w:w="50"/>
              <w:right w:type="dxa" w:w="90"/>
            </w:tcMar>
            <w:vAlign w:val="center"/>
          </w:tcPr>
          <w:p>
            <w:pPr>
              <w:spacing w:after="0" w:line="240"/>
            </w:pPr>
            <w:r>
              <w:rPr>
                <w:b/>
                <w:bCs/>
                <w:color w:val="FFFFFF"/>
                <w:sz w:val="18"/>
                <w:szCs w:val="18"/>
              </w:rPr>
              <w:t xml:space="preserve">Exigence</w:t>
            </w:r>
          </w:p>
        </w:tc>
        <w:tc>
          <w:tcPr>
            <w:tcW w:type="dxa" w:w="1300"/>
            <w:shd w:fill="1F3864" w:val="clear"/>
            <w:tcMar>
              <w:top w:type="dxa" w:w="50"/>
              <w:left w:type="dxa" w:w="90"/>
              <w:bottom w:type="dxa" w:w="50"/>
              <w:right w:type="dxa" w:w="90"/>
            </w:tcMar>
            <w:vAlign w:val="center"/>
          </w:tcPr>
          <w:p>
            <w:pPr>
              <w:spacing w:after="0" w:line="240"/>
            </w:pPr>
            <w:r>
              <w:rPr>
                <w:b/>
                <w:bCs/>
                <w:color w:val="FFFFFF"/>
                <w:sz w:val="18"/>
                <w:szCs w:val="18"/>
              </w:rPr>
              <w:t xml:space="preserve">Lot</w:t>
            </w:r>
          </w:p>
        </w:tc>
      </w:tr>
      <w:tr>
        <w:tc>
          <w:tcPr>
            <w:tcW w:type="dxa" w:w="1000"/>
            <w:tcMar>
              <w:top w:type="dxa" w:w="50"/>
              <w:left w:type="dxa" w:w="90"/>
              <w:bottom w:type="dxa" w:w="50"/>
              <w:right w:type="dxa" w:w="90"/>
            </w:tcMar>
            <w:vAlign w:val="center"/>
          </w:tcPr>
          <w:p>
            <w:pPr>
              <w:spacing w:after="0" w:line="240"/>
            </w:pPr>
            <w:r>
              <w:rPr>
                <w:sz w:val="18"/>
                <w:szCs w:val="18"/>
              </w:rPr>
              <w:t xml:space="preserve">FR-001</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Gérer CTO, PEA, SRD et poches cash multi-devises.</w:t>
            </w:r>
          </w:p>
        </w:tc>
        <w:tc>
          <w:tcPr>
            <w:tcW w:type="dxa" w:w="1300"/>
            <w:tcMar>
              <w:top w:type="dxa" w:w="50"/>
              <w:left w:type="dxa" w:w="90"/>
              <w:bottom w:type="dxa" w:w="50"/>
              <w:right w:type="dxa" w:w="90"/>
            </w:tcMar>
            <w:vAlign w:val="center"/>
          </w:tcPr>
          <w:p>
            <w:pPr>
              <w:spacing w:after="0" w:line="240"/>
            </w:pPr>
            <w:r>
              <w:rPr>
                <w:sz w:val="18"/>
                <w:szCs w:val="18"/>
              </w:rPr>
              <w:t xml:space="preserve">L01</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FR-002</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Poches de capital protégées (pilote, exceptionnel, réserve immobilière, sécurité).</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L01, L13</w:t>
            </w:r>
          </w:p>
        </w:tc>
      </w:tr>
      <w:tr>
        <w:tc>
          <w:tcPr>
            <w:tcW w:type="dxa" w:w="1000"/>
            <w:tcMar>
              <w:top w:type="dxa" w:w="50"/>
              <w:left w:type="dxa" w:w="90"/>
              <w:bottom w:type="dxa" w:w="50"/>
              <w:right w:type="dxa" w:w="90"/>
            </w:tcMar>
            <w:vAlign w:val="center"/>
          </w:tcPr>
          <w:p>
            <w:pPr>
              <w:spacing w:after="0" w:line="240"/>
            </w:pPr>
            <w:r>
              <w:rPr>
                <w:sz w:val="18"/>
                <w:szCs w:val="18"/>
              </w:rPr>
              <w:t xml:space="preserve">FR-010</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Importer XLSX Saxo et CSV Boursobank/cotations, idempotent par hash.</w:t>
            </w:r>
          </w:p>
        </w:tc>
        <w:tc>
          <w:tcPr>
            <w:tcW w:type="dxa" w:w="1300"/>
            <w:tcMar>
              <w:top w:type="dxa" w:w="50"/>
              <w:left w:type="dxa" w:w="90"/>
              <w:bottom w:type="dxa" w:w="50"/>
              <w:right w:type="dxa" w:w="90"/>
            </w:tcMar>
            <w:vAlign w:val="center"/>
          </w:tcPr>
          <w:p>
            <w:pPr>
              <w:spacing w:after="0" w:line="240"/>
            </w:pPr>
            <w:r>
              <w:rPr>
                <w:sz w:val="18"/>
                <w:szCs w:val="18"/>
              </w:rPr>
              <w:t xml:space="preserve">L02–L04</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FR-011</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Conserver fichiers bruts, erreurs et lots d’import.</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L03</w:t>
            </w:r>
          </w:p>
        </w:tc>
      </w:tr>
      <w:tr>
        <w:tc>
          <w:tcPr>
            <w:tcW w:type="dxa" w:w="1000"/>
            <w:tcMar>
              <w:top w:type="dxa" w:w="50"/>
              <w:left w:type="dxa" w:w="90"/>
              <w:bottom w:type="dxa" w:w="50"/>
              <w:right w:type="dxa" w:w="90"/>
            </w:tcMar>
            <w:vAlign w:val="center"/>
          </w:tcPr>
          <w:p>
            <w:pPr>
              <w:spacing w:after="0" w:line="240"/>
            </w:pPr>
            <w:r>
              <w:rPr>
                <w:sz w:val="18"/>
                <w:szCs w:val="18"/>
              </w:rPr>
              <w:t xml:space="preserve">FR-012</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Rapprocher positions calculées et positions courtier.</w:t>
            </w:r>
          </w:p>
        </w:tc>
        <w:tc>
          <w:tcPr>
            <w:tcW w:type="dxa" w:w="1300"/>
            <w:tcMar>
              <w:top w:type="dxa" w:w="50"/>
              <w:left w:type="dxa" w:w="90"/>
              <w:bottom w:type="dxa" w:w="50"/>
              <w:right w:type="dxa" w:w="90"/>
            </w:tcMar>
            <w:vAlign w:val="center"/>
          </w:tcPr>
          <w:p>
            <w:pPr>
              <w:spacing w:after="0" w:line="240"/>
            </w:pPr>
            <w:r>
              <w:rPr>
                <w:sz w:val="18"/>
                <w:szCs w:val="18"/>
              </w:rPr>
              <w:t xml:space="preserve">L04</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FR-020</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Historique OHLCV ≥ 12 mois pour toute valeur analysée.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L02</w:t>
            </w:r>
          </w:p>
        </w:tc>
      </w:tr>
      <w:tr>
        <w:tc>
          <w:tcPr>
            <w:tcW w:type="dxa" w:w="1000"/>
            <w:tcMar>
              <w:top w:type="dxa" w:w="50"/>
              <w:left w:type="dxa" w:w="90"/>
              <w:bottom w:type="dxa" w:w="50"/>
              <w:right w:type="dxa" w:w="90"/>
            </w:tcMar>
            <w:vAlign w:val="center"/>
          </w:tcPr>
          <w:p>
            <w:pPr>
              <w:spacing w:after="0" w:line="240"/>
            </w:pPr>
            <w:r>
              <w:rPr>
                <w:sz w:val="18"/>
                <w:szCs w:val="18"/>
              </w:rPr>
              <w:t xml:space="preserve">FR-021</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Horodatage, source et fraîcheur de tout cours.</w:t>
            </w:r>
          </w:p>
        </w:tc>
        <w:tc>
          <w:tcPr>
            <w:tcW w:type="dxa" w:w="1300"/>
            <w:tcMar>
              <w:top w:type="dxa" w:w="50"/>
              <w:left w:type="dxa" w:w="90"/>
              <w:bottom w:type="dxa" w:w="50"/>
              <w:right w:type="dxa" w:w="90"/>
            </w:tcMar>
            <w:vAlign w:val="center"/>
          </w:tcPr>
          <w:p>
            <w:pPr>
              <w:spacing w:after="0" w:line="240"/>
            </w:pPr>
            <w:r>
              <w:rPr>
                <w:sz w:val="18"/>
                <w:szCs w:val="18"/>
              </w:rPr>
              <w:t xml:space="preserve">L02</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FR-030</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Calculer P/L, valeur, exposition, frais et effet de change.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L05</w:t>
            </w:r>
          </w:p>
        </w:tc>
      </w:tr>
      <w:tr>
        <w:tc>
          <w:tcPr>
            <w:tcW w:type="dxa" w:w="1000"/>
            <w:tcMar>
              <w:top w:type="dxa" w:w="50"/>
              <w:left w:type="dxa" w:w="90"/>
              <w:bottom w:type="dxa" w:w="50"/>
              <w:right w:type="dxa" w:w="90"/>
            </w:tcMar>
            <w:vAlign w:val="center"/>
          </w:tcPr>
          <w:p>
            <w:pPr>
              <w:spacing w:after="0" w:line="240"/>
            </w:pPr>
            <w:r>
              <w:rPr>
                <w:sz w:val="18"/>
                <w:szCs w:val="18"/>
              </w:rPr>
              <w:t xml:space="preserve">FR-031</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Snapshots quotidiens de positions et de portefeuille.</w:t>
            </w:r>
          </w:p>
        </w:tc>
        <w:tc>
          <w:tcPr>
            <w:tcW w:type="dxa" w:w="1300"/>
            <w:tcMar>
              <w:top w:type="dxa" w:w="50"/>
              <w:left w:type="dxa" w:w="90"/>
              <w:bottom w:type="dxa" w:w="50"/>
              <w:right w:type="dxa" w:w="90"/>
            </w:tcMar>
            <w:vAlign w:val="center"/>
          </w:tcPr>
          <w:p>
            <w:pPr>
              <w:spacing w:after="0" w:line="240"/>
            </w:pPr>
            <w:r>
              <w:rPr>
                <w:sz w:val="18"/>
                <w:szCs w:val="18"/>
              </w:rPr>
              <w:t xml:space="preserve">L05</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FR-040</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Recommandations immuables et versionnées avec snapshot.</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L09</w:t>
            </w:r>
          </w:p>
        </w:tc>
      </w:tr>
      <w:tr>
        <w:tc>
          <w:tcPr>
            <w:tcW w:type="dxa" w:w="1000"/>
            <w:tcMar>
              <w:top w:type="dxa" w:w="50"/>
              <w:left w:type="dxa" w:w="90"/>
              <w:bottom w:type="dxa" w:w="50"/>
              <w:right w:type="dxa" w:w="90"/>
            </w:tcMar>
            <w:vAlign w:val="center"/>
          </w:tcPr>
          <w:p>
            <w:pPr>
              <w:spacing w:after="0" w:line="240"/>
            </w:pPr>
            <w:r>
              <w:rPr>
                <w:sz w:val="18"/>
                <w:szCs w:val="18"/>
              </w:rPr>
              <w:t xml:space="preserve">FR-041</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Scoring 30/25/20/15/10 avec détail des composantes.</w:t>
            </w:r>
          </w:p>
        </w:tc>
        <w:tc>
          <w:tcPr>
            <w:tcW w:type="dxa" w:w="1300"/>
            <w:tcMar>
              <w:top w:type="dxa" w:w="50"/>
              <w:left w:type="dxa" w:w="90"/>
              <w:bottom w:type="dxa" w:w="50"/>
              <w:right w:type="dxa" w:w="90"/>
            </w:tcMar>
            <w:vAlign w:val="center"/>
          </w:tcPr>
          <w:p>
            <w:pPr>
              <w:spacing w:after="0" w:line="240"/>
            </w:pPr>
            <w:r>
              <w:rPr>
                <w:sz w:val="18"/>
                <w:szCs w:val="18"/>
              </w:rPr>
              <w:t xml:space="preserve">L09</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FR-042</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Taille calculée entrée/stop avec budget de risque par grade.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L07</w:t>
            </w:r>
          </w:p>
        </w:tc>
      </w:tr>
      <w:tr>
        <w:tc>
          <w:tcPr>
            <w:tcW w:type="dxa" w:w="1000"/>
            <w:tcMar>
              <w:top w:type="dxa" w:w="50"/>
              <w:left w:type="dxa" w:w="90"/>
              <w:bottom w:type="dxa" w:w="50"/>
              <w:right w:type="dxa" w:w="90"/>
            </w:tcMar>
            <w:vAlign w:val="center"/>
          </w:tcPr>
          <w:p>
            <w:pPr>
              <w:spacing w:after="0" w:line="240"/>
            </w:pPr>
            <w:r>
              <w:rPr>
                <w:sz w:val="18"/>
                <w:szCs w:val="18"/>
              </w:rPr>
              <w:t xml:space="preserve">FR-043</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Scénarios base/bull/bear avec objectifs et invalidation.</w:t>
            </w:r>
          </w:p>
        </w:tc>
        <w:tc>
          <w:tcPr>
            <w:tcW w:type="dxa" w:w="1300"/>
            <w:tcMar>
              <w:top w:type="dxa" w:w="50"/>
              <w:left w:type="dxa" w:w="90"/>
              <w:bottom w:type="dxa" w:w="50"/>
              <w:right w:type="dxa" w:w="90"/>
            </w:tcMar>
            <w:vAlign w:val="center"/>
          </w:tcPr>
          <w:p>
            <w:pPr>
              <w:spacing w:after="0" w:line="240"/>
            </w:pPr>
            <w:r>
              <w:rPr>
                <w:sz w:val="18"/>
                <w:szCs w:val="18"/>
              </w:rPr>
              <w:t xml:space="preserve">L08</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FR-050</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Chaîne ordre potentiel → ordre réel → transaction.</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L06</w:t>
            </w:r>
          </w:p>
        </w:tc>
      </w:tr>
      <w:tr>
        <w:tc>
          <w:tcPr>
            <w:tcW w:type="dxa" w:w="1000"/>
            <w:tcMar>
              <w:top w:type="dxa" w:w="50"/>
              <w:left w:type="dxa" w:w="90"/>
              <w:bottom w:type="dxa" w:w="50"/>
              <w:right w:type="dxa" w:w="90"/>
            </w:tcMar>
            <w:vAlign w:val="center"/>
          </w:tcPr>
          <w:p>
            <w:pPr>
              <w:spacing w:after="0" w:line="240"/>
            </w:pPr>
            <w:r>
              <w:rPr>
                <w:sz w:val="18"/>
                <w:szCs w:val="18"/>
              </w:rPr>
              <w:t xml:space="preserve">FR-051</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Détecter ordres orphelins et quantités incohérentes.</w:t>
            </w:r>
          </w:p>
        </w:tc>
        <w:tc>
          <w:tcPr>
            <w:tcW w:type="dxa" w:w="1300"/>
            <w:tcMar>
              <w:top w:type="dxa" w:w="50"/>
              <w:left w:type="dxa" w:w="90"/>
              <w:bottom w:type="dxa" w:w="50"/>
              <w:right w:type="dxa" w:w="90"/>
            </w:tcMar>
            <w:vAlign w:val="center"/>
          </w:tcPr>
          <w:p>
            <w:pPr>
              <w:spacing w:after="0" w:line="240"/>
            </w:pPr>
            <w:r>
              <w:rPr>
                <w:sz w:val="18"/>
                <w:szCs w:val="18"/>
              </w:rPr>
              <w:t xml:space="preserve">L06</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FR-052</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Gérer OCO et stop suiveur avec contrôle de double exécution.</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L06</w:t>
            </w:r>
          </w:p>
        </w:tc>
      </w:tr>
      <w:tr>
        <w:tc>
          <w:tcPr>
            <w:tcW w:type="dxa" w:w="1000"/>
            <w:tcMar>
              <w:top w:type="dxa" w:w="50"/>
              <w:left w:type="dxa" w:w="90"/>
              <w:bottom w:type="dxa" w:w="50"/>
              <w:right w:type="dxa" w:w="90"/>
            </w:tcMar>
            <w:vAlign w:val="center"/>
          </w:tcPr>
          <w:p>
            <w:pPr>
              <w:spacing w:after="0" w:line="240"/>
            </w:pPr>
            <w:r>
              <w:rPr>
                <w:sz w:val="18"/>
                <w:szCs w:val="18"/>
              </w:rPr>
              <w:t xml:space="preserve">FR-060</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Cycles SRD : liquidation, report, frais et P/L net.</w:t>
            </w:r>
          </w:p>
        </w:tc>
        <w:tc>
          <w:tcPr>
            <w:tcW w:type="dxa" w:w="1300"/>
            <w:tcMar>
              <w:top w:type="dxa" w:w="50"/>
              <w:left w:type="dxa" w:w="90"/>
              <w:bottom w:type="dxa" w:w="50"/>
              <w:right w:type="dxa" w:w="90"/>
            </w:tcMar>
            <w:vAlign w:val="center"/>
          </w:tcPr>
          <w:p>
            <w:pPr>
              <w:spacing w:after="0" w:line="240"/>
            </w:pPr>
            <w:r>
              <w:rPr>
                <w:sz w:val="18"/>
                <w:szCs w:val="18"/>
              </w:rPr>
              <w:t xml:space="preserve">L08</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FR-070</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KPI P/L et rendement par période et segment.</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L11</w:t>
            </w:r>
          </w:p>
        </w:tc>
      </w:tr>
      <w:tr>
        <w:tc>
          <w:tcPr>
            <w:tcW w:type="dxa" w:w="1000"/>
            <w:tcMar>
              <w:top w:type="dxa" w:w="50"/>
              <w:left w:type="dxa" w:w="90"/>
              <w:bottom w:type="dxa" w:w="50"/>
              <w:right w:type="dxa" w:w="90"/>
            </w:tcMar>
            <w:vAlign w:val="center"/>
          </w:tcPr>
          <w:p>
            <w:pPr>
              <w:spacing w:after="0" w:line="240"/>
            </w:pPr>
            <w:r>
              <w:rPr>
                <w:sz w:val="18"/>
                <w:szCs w:val="18"/>
              </w:rPr>
              <w:t xml:space="preserve">FR-071</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Hit rate, profit factor, expectancy, drawdown.</w:t>
            </w:r>
          </w:p>
        </w:tc>
        <w:tc>
          <w:tcPr>
            <w:tcW w:type="dxa" w:w="1300"/>
            <w:tcMar>
              <w:top w:type="dxa" w:w="50"/>
              <w:left w:type="dxa" w:w="90"/>
              <w:bottom w:type="dxa" w:w="50"/>
              <w:right w:type="dxa" w:w="90"/>
            </w:tcMar>
            <w:vAlign w:val="center"/>
          </w:tcPr>
          <w:p>
            <w:pPr>
              <w:spacing w:after="0" w:line="240"/>
            </w:pPr>
            <w:r>
              <w:rPr>
                <w:sz w:val="18"/>
                <w:szCs w:val="18"/>
              </w:rPr>
              <w:t xml:space="preserve">L11</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FR-072</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SHOULD</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MFE, MAE et efficacité des stops.</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L16</w:t>
            </w:r>
          </w:p>
        </w:tc>
      </w:tr>
      <w:tr>
        <w:tc>
          <w:tcPr>
            <w:tcW w:type="dxa" w:w="1000"/>
            <w:tcMar>
              <w:top w:type="dxa" w:w="50"/>
              <w:left w:type="dxa" w:w="90"/>
              <w:bottom w:type="dxa" w:w="50"/>
              <w:right w:type="dxa" w:w="90"/>
            </w:tcMar>
            <w:vAlign w:val="center"/>
          </w:tcPr>
          <w:p>
            <w:pPr>
              <w:spacing w:after="0" w:line="240"/>
            </w:pPr>
            <w:r>
              <w:rPr>
                <w:sz w:val="18"/>
                <w:szCs w:val="18"/>
              </w:rPr>
              <w:t xml:space="preserve">FR-080</w:t>
            </w:r>
          </w:p>
        </w:tc>
        <w:tc>
          <w:tcPr>
            <w:tcW w:type="dxa" w:w="1000"/>
            <w:tcMar>
              <w:top w:type="dxa" w:w="50"/>
              <w:left w:type="dxa" w:w="90"/>
              <w:bottom w:type="dxa" w:w="50"/>
              <w:right w:type="dxa" w:w="90"/>
            </w:tcMar>
            <w:vAlign w:val="center"/>
          </w:tcPr>
          <w:p>
            <w:pPr>
              <w:spacing w:after="0" w:line="240"/>
            </w:pPr>
            <w:r>
              <w:rPr>
                <w:sz w:val="18"/>
                <w:szCs w:val="18"/>
              </w:rPr>
              <w:t xml:space="preserve">SHOULD</w:t>
            </w:r>
          </w:p>
        </w:tc>
        <w:tc>
          <w:tcPr>
            <w:tcW w:type="dxa" w:w="6338"/>
            <w:tcMar>
              <w:top w:type="dxa" w:w="50"/>
              <w:left w:type="dxa" w:w="90"/>
              <w:bottom w:type="dxa" w:w="50"/>
              <w:right w:type="dxa" w:w="90"/>
            </w:tcMar>
            <w:vAlign w:val="center"/>
          </w:tcPr>
          <w:p>
            <w:pPr>
              <w:spacing w:after="0" w:line="240"/>
            </w:pPr>
            <w:r>
              <w:rPr>
                <w:sz w:val="18"/>
                <w:szCs w:val="18"/>
              </w:rPr>
              <w:t xml:space="preserve">Analyse segmentée de ce qui fonctionne (échantillon minimal, confiance).</w:t>
            </w:r>
          </w:p>
        </w:tc>
        <w:tc>
          <w:tcPr>
            <w:tcW w:type="dxa" w:w="1300"/>
            <w:tcMar>
              <w:top w:type="dxa" w:w="50"/>
              <w:left w:type="dxa" w:w="90"/>
              <w:bottom w:type="dxa" w:w="50"/>
              <w:right w:type="dxa" w:w="90"/>
            </w:tcMar>
            <w:vAlign w:val="center"/>
          </w:tcPr>
          <w:p>
            <w:pPr>
              <w:spacing w:after="0" w:line="240"/>
            </w:pPr>
            <w:r>
              <w:rPr>
                <w:sz w:val="18"/>
                <w:szCs w:val="18"/>
              </w:rPr>
              <w:t xml:space="preserve">L17</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FR-081</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SHOULD</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Propositions de changement sans auto-application.</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L17</w:t>
            </w:r>
          </w:p>
        </w:tc>
      </w:tr>
      <w:tr>
        <w:tc>
          <w:tcPr>
            <w:tcW w:type="dxa" w:w="1000"/>
            <w:tcMar>
              <w:top w:type="dxa" w:w="50"/>
              <w:left w:type="dxa" w:w="90"/>
              <w:bottom w:type="dxa" w:w="50"/>
              <w:right w:type="dxa" w:w="90"/>
            </w:tcMar>
            <w:vAlign w:val="center"/>
          </w:tcPr>
          <w:p>
            <w:pPr>
              <w:spacing w:after="0" w:line="240"/>
            </w:pPr>
            <w:r>
              <w:rPr>
                <w:sz w:val="18"/>
                <w:szCs w:val="18"/>
              </w:rPr>
              <w:t xml:space="preserve">FR-090</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Rapport quotidien en 10 sections, export MD/PDF.</w:t>
            </w:r>
          </w:p>
        </w:tc>
        <w:tc>
          <w:tcPr>
            <w:tcW w:type="dxa" w:w="1300"/>
            <w:tcMar>
              <w:top w:type="dxa" w:w="50"/>
              <w:left w:type="dxa" w:w="90"/>
              <w:bottom w:type="dxa" w:w="50"/>
              <w:right w:type="dxa" w:w="90"/>
            </w:tcMar>
            <w:vAlign w:val="center"/>
          </w:tcPr>
          <w:p>
            <w:pPr>
              <w:spacing w:after="0" w:line="240"/>
            </w:pPr>
            <w:r>
              <w:rPr>
                <w:sz w:val="18"/>
                <w:szCs w:val="18"/>
              </w:rPr>
              <w:t xml:space="preserve">L12</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FR-091</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Rituel 2–3×/semaine en 4 étapes.</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L12</w:t>
            </w:r>
          </w:p>
        </w:tc>
      </w:tr>
      <w:tr>
        <w:tc>
          <w:tcPr>
            <w:tcW w:type="dxa" w:w="1000"/>
            <w:tcMar>
              <w:top w:type="dxa" w:w="50"/>
              <w:left w:type="dxa" w:w="90"/>
              <w:bottom w:type="dxa" w:w="50"/>
              <w:right w:type="dxa" w:w="90"/>
            </w:tcMar>
            <w:vAlign w:val="center"/>
          </w:tcPr>
          <w:p>
            <w:pPr>
              <w:spacing w:after="0" w:line="240"/>
            </w:pPr>
            <w:r>
              <w:rPr>
                <w:sz w:val="18"/>
                <w:szCs w:val="18"/>
              </w:rPr>
              <w:t xml:space="preserve">FR-100</w:t>
            </w:r>
          </w:p>
        </w:tc>
        <w:tc>
          <w:tcPr>
            <w:tcW w:type="dxa" w:w="1000"/>
            <w:tcMar>
              <w:top w:type="dxa" w:w="50"/>
              <w:left w:type="dxa" w:w="90"/>
              <w:bottom w:type="dxa" w:w="50"/>
              <w:right w:type="dxa" w:w="90"/>
            </w:tcMar>
            <w:vAlign w:val="center"/>
          </w:tcPr>
          <w:p>
            <w:pPr>
              <w:spacing w:after="0" w:line="240"/>
            </w:pPr>
            <w:r>
              <w:rPr>
                <w:sz w:val="18"/>
                <w:szCs w:val="18"/>
              </w:rPr>
              <w:t xml:space="preserve">SHOULD</w:t>
            </w:r>
          </w:p>
        </w:tc>
        <w:tc>
          <w:tcPr>
            <w:tcW w:type="dxa" w:w="6338"/>
            <w:tcMar>
              <w:top w:type="dxa" w:w="50"/>
              <w:left w:type="dxa" w:w="90"/>
              <w:bottom w:type="dxa" w:w="50"/>
              <w:right w:type="dxa" w:w="90"/>
            </w:tcMar>
            <w:vAlign w:val="center"/>
          </w:tcPr>
          <w:p>
            <w:pPr>
              <w:spacing w:after="0" w:line="240"/>
            </w:pPr>
            <w:r>
              <w:rPr>
                <w:sz w:val="18"/>
                <w:szCs w:val="18"/>
              </w:rPr>
              <w:t xml:space="preserve">Parser les DOCX Momentum en blocs datés avec citations.</w:t>
            </w:r>
          </w:p>
        </w:tc>
        <w:tc>
          <w:tcPr>
            <w:tcW w:type="dxa" w:w="1300"/>
            <w:tcMar>
              <w:top w:type="dxa" w:w="50"/>
              <w:left w:type="dxa" w:w="90"/>
              <w:bottom w:type="dxa" w:w="50"/>
              <w:right w:type="dxa" w:w="90"/>
            </w:tcMar>
            <w:vAlign w:val="center"/>
          </w:tcPr>
          <w:p>
            <w:pPr>
              <w:spacing w:after="0" w:line="240"/>
            </w:pPr>
            <w:r>
              <w:rPr>
                <w:sz w:val="18"/>
                <w:szCs w:val="18"/>
              </w:rPr>
              <w:t xml:space="preserve">L14</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FR-101</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SHOULD</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Saisir des recommandations externes avec source et date.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L14</w:t>
            </w:r>
          </w:p>
        </w:tc>
      </w:tr>
      <w:tr>
        <w:tc>
          <w:tcPr>
            <w:tcW w:type="dxa" w:w="1000"/>
            <w:tcMar>
              <w:top w:type="dxa" w:w="50"/>
              <w:left w:type="dxa" w:w="90"/>
              <w:bottom w:type="dxa" w:w="50"/>
              <w:right w:type="dxa" w:w="90"/>
            </w:tcMar>
            <w:vAlign w:val="center"/>
          </w:tcPr>
          <w:p>
            <w:pPr>
              <w:spacing w:after="0" w:line="240"/>
            </w:pPr>
            <w:r>
              <w:rPr>
                <w:sz w:val="18"/>
                <w:szCs w:val="18"/>
              </w:rPr>
              <w:t xml:space="preserve">FR-110</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Journal d’audit append-only.</w:t>
            </w:r>
          </w:p>
        </w:tc>
        <w:tc>
          <w:tcPr>
            <w:tcW w:type="dxa" w:w="1300"/>
            <w:tcMar>
              <w:top w:type="dxa" w:w="50"/>
              <w:left w:type="dxa" w:w="90"/>
              <w:bottom w:type="dxa" w:w="50"/>
              <w:right w:type="dxa" w:w="90"/>
            </w:tcMar>
            <w:vAlign w:val="center"/>
          </w:tcPr>
          <w:p>
            <w:pPr>
              <w:spacing w:after="0" w:line="240"/>
            </w:pPr>
            <w:r>
              <w:rPr>
                <w:sz w:val="18"/>
                <w:szCs w:val="18"/>
              </w:rPr>
              <w:t xml:space="preserve">L15</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FR-111</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Sauvegarde et restauration locales testées.</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L15</w:t>
            </w:r>
          </w:p>
        </w:tc>
      </w:tr>
      <w:tr>
        <w:tc>
          <w:tcPr>
            <w:tcW w:type="dxa" w:w="1000"/>
            <w:tcMar>
              <w:top w:type="dxa" w:w="50"/>
              <w:left w:type="dxa" w:w="90"/>
              <w:bottom w:type="dxa" w:w="50"/>
              <w:right w:type="dxa" w:w="90"/>
            </w:tcMar>
            <w:vAlign w:val="center"/>
          </w:tcPr>
          <w:p>
            <w:pPr>
              <w:spacing w:after="0" w:line="240"/>
            </w:pPr>
            <w:r>
              <w:rPr>
                <w:sz w:val="18"/>
                <w:szCs w:val="18"/>
              </w:rPr>
              <w:t xml:space="preserve">FR-120</w:t>
            </w:r>
          </w:p>
        </w:tc>
        <w:tc>
          <w:tcPr>
            <w:tcW w:type="dxa" w:w="1000"/>
            <w:tcMar>
              <w:top w:type="dxa" w:w="50"/>
              <w:left w:type="dxa" w:w="90"/>
              <w:bottom w:type="dxa" w:w="50"/>
              <w:right w:type="dxa" w:w="90"/>
            </w:tcMar>
            <w:vAlign w:val="center"/>
          </w:tcPr>
          <w:p>
            <w:pPr>
              <w:spacing w:after="0" w:line="240"/>
            </w:pPr>
            <w:r>
              <w:rPr>
                <w:sz w:val="18"/>
                <w:szCs w:val="18"/>
              </w:rPr>
              <w:t xml:space="preserve">COULD</w:t>
            </w:r>
          </w:p>
        </w:tc>
        <w:tc>
          <w:tcPr>
            <w:tcW w:type="dxa" w:w="6338"/>
            <w:tcMar>
              <w:top w:type="dxa" w:w="50"/>
              <w:left w:type="dxa" w:w="90"/>
              <w:bottom w:type="dxa" w:w="50"/>
              <w:right w:type="dxa" w:w="90"/>
            </w:tcMar>
            <w:vAlign w:val="center"/>
          </w:tcPr>
          <w:p>
            <w:pPr>
              <w:spacing w:after="0" w:line="240"/>
            </w:pPr>
            <w:r>
              <w:rPr>
                <w:sz w:val="18"/>
                <w:szCs w:val="18"/>
              </w:rPr>
              <w:t xml:space="preserve">Extraction de captures d’ordres avec validation humaine.</w:t>
            </w:r>
          </w:p>
        </w:tc>
        <w:tc>
          <w:tcPr>
            <w:tcW w:type="dxa" w:w="1300"/>
            <w:tcMar>
              <w:top w:type="dxa" w:w="50"/>
              <w:left w:type="dxa" w:w="90"/>
              <w:bottom w:type="dxa" w:w="50"/>
              <w:right w:type="dxa" w:w="90"/>
            </w:tcMar>
            <w:vAlign w:val="center"/>
          </w:tcPr>
          <w:p>
            <w:pPr>
              <w:spacing w:after="0" w:line="240"/>
            </w:pPr>
            <w:r>
              <w:rPr>
                <w:sz w:val="18"/>
                <w:szCs w:val="18"/>
              </w:rPr>
              <w:t xml:space="preserve">Phase 2</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FR-200</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Importer l’export ZIP Claude filtré par projet (nom + UUID).</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L18</w:t>
            </w:r>
          </w:p>
        </w:tc>
      </w:tr>
      <w:tr>
        <w:tc>
          <w:tcPr>
            <w:tcW w:type="dxa" w:w="1000"/>
            <w:tcMar>
              <w:top w:type="dxa" w:w="50"/>
              <w:left w:type="dxa" w:w="90"/>
              <w:bottom w:type="dxa" w:w="50"/>
              <w:right w:type="dxa" w:w="90"/>
            </w:tcMar>
            <w:vAlign w:val="center"/>
          </w:tcPr>
          <w:p>
            <w:pPr>
              <w:spacing w:after="0" w:line="240"/>
            </w:pPr>
            <w:r>
              <w:rPr>
                <w:sz w:val="18"/>
                <w:szCs w:val="18"/>
              </w:rPr>
              <w:t xml:space="preserve">FR-201</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Provenance de chaque règle jusqu’au message source.</w:t>
            </w:r>
          </w:p>
        </w:tc>
        <w:tc>
          <w:tcPr>
            <w:tcW w:type="dxa" w:w="1300"/>
            <w:tcMar>
              <w:top w:type="dxa" w:w="50"/>
              <w:left w:type="dxa" w:w="90"/>
              <w:bottom w:type="dxa" w:w="50"/>
              <w:right w:type="dxa" w:w="90"/>
            </w:tcMar>
            <w:vAlign w:val="center"/>
          </w:tcPr>
          <w:p>
            <w:pPr>
              <w:spacing w:after="0" w:line="240"/>
            </w:pPr>
            <w:r>
              <w:rPr>
                <w:sz w:val="18"/>
                <w:szCs w:val="18"/>
              </w:rPr>
              <w:t xml:space="preserve">L18</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FR-202</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Portfolio heat en euros et en % du capital pilote.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L07</w:t>
            </w:r>
          </w:p>
        </w:tc>
      </w:tr>
      <w:tr>
        <w:tc>
          <w:tcPr>
            <w:tcW w:type="dxa" w:w="1000"/>
            <w:tcMar>
              <w:top w:type="dxa" w:w="50"/>
              <w:left w:type="dxa" w:w="90"/>
              <w:bottom w:type="dxa" w:w="50"/>
              <w:right w:type="dxa" w:w="90"/>
            </w:tcMar>
            <w:vAlign w:val="center"/>
          </w:tcPr>
          <w:p>
            <w:pPr>
              <w:spacing w:after="0" w:line="240"/>
            </w:pPr>
            <w:r>
              <w:rPr>
                <w:sz w:val="18"/>
                <w:szCs w:val="18"/>
              </w:rPr>
              <w:t xml:space="preserve">FR-203</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Grades A/B avec budgets de risque distincts et versionnés.</w:t>
            </w:r>
          </w:p>
        </w:tc>
        <w:tc>
          <w:tcPr>
            <w:tcW w:type="dxa" w:w="1300"/>
            <w:tcMar>
              <w:top w:type="dxa" w:w="50"/>
              <w:left w:type="dxa" w:w="90"/>
              <w:bottom w:type="dxa" w:w="50"/>
              <w:right w:type="dxa" w:w="90"/>
            </w:tcMar>
            <w:vAlign w:val="center"/>
          </w:tcPr>
          <w:p>
            <w:pPr>
              <w:spacing w:after="0" w:line="240"/>
            </w:pPr>
            <w:r>
              <w:rPr>
                <w:sz w:val="18"/>
                <w:szCs w:val="18"/>
              </w:rPr>
              <w:t xml:space="preserve">L07</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FR-204</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Armer un scénario seulement si tous les gates sont vrais.</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L08</w:t>
            </w:r>
          </w:p>
        </w:tc>
      </w:tr>
      <w:tr>
        <w:tc>
          <w:tcPr>
            <w:tcW w:type="dxa" w:w="1000"/>
            <w:tcMar>
              <w:top w:type="dxa" w:w="50"/>
              <w:left w:type="dxa" w:w="90"/>
              <w:bottom w:type="dxa" w:w="50"/>
              <w:right w:type="dxa" w:w="90"/>
            </w:tcMar>
            <w:vAlign w:val="center"/>
          </w:tcPr>
          <w:p>
            <w:pPr>
              <w:spacing w:after="0" w:line="240"/>
            </w:pPr>
            <w:r>
              <w:rPr>
                <w:sz w:val="18"/>
                <w:szCs w:val="18"/>
              </w:rPr>
              <w:t xml:space="preserve">FR-205</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Fenêtres no-go par événement, compte et produit.</w:t>
            </w:r>
          </w:p>
        </w:tc>
        <w:tc>
          <w:tcPr>
            <w:tcW w:type="dxa" w:w="1300"/>
            <w:tcMar>
              <w:top w:type="dxa" w:w="50"/>
              <w:left w:type="dxa" w:w="90"/>
              <w:bottom w:type="dxa" w:w="50"/>
              <w:right w:type="dxa" w:w="90"/>
            </w:tcMar>
            <w:vAlign w:val="center"/>
          </w:tcPr>
          <w:p>
            <w:pPr>
              <w:spacing w:after="0" w:line="240"/>
            </w:pPr>
            <w:r>
              <w:rPr>
                <w:sz w:val="18"/>
                <w:szCs w:val="18"/>
              </w:rPr>
              <w:t xml:space="preserve">L08</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FR-206</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Calendrier SRD avec décision CLOSE/ROLL/REDUCE obligatoire.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L08</w:t>
            </w:r>
          </w:p>
        </w:tc>
      </w:tr>
      <w:tr>
        <w:tc>
          <w:tcPr>
            <w:tcW w:type="dxa" w:w="1000"/>
            <w:tcMar>
              <w:top w:type="dxa" w:w="50"/>
              <w:left w:type="dxa" w:w="90"/>
              <w:bottom w:type="dxa" w:w="50"/>
              <w:right w:type="dxa" w:w="90"/>
            </w:tcMar>
            <w:vAlign w:val="center"/>
          </w:tcPr>
          <w:p>
            <w:pPr>
              <w:spacing w:after="0" w:line="240"/>
            </w:pPr>
            <w:r>
              <w:rPr>
                <w:sz w:val="18"/>
                <w:szCs w:val="18"/>
              </w:rPr>
              <w:t xml:space="preserve">FR-207</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Stress de gap indépendant du stop (−5 %, −10 %, personnalisé).</w:t>
            </w:r>
          </w:p>
        </w:tc>
        <w:tc>
          <w:tcPr>
            <w:tcW w:type="dxa" w:w="1300"/>
            <w:tcMar>
              <w:top w:type="dxa" w:w="50"/>
              <w:left w:type="dxa" w:w="90"/>
              <w:bottom w:type="dxa" w:w="50"/>
              <w:right w:type="dxa" w:w="90"/>
            </w:tcMar>
            <w:vAlign w:val="center"/>
          </w:tcPr>
          <w:p>
            <w:pPr>
              <w:spacing w:after="0" w:line="240"/>
            </w:pPr>
            <w:r>
              <w:rPr>
                <w:sz w:val="18"/>
                <w:szCs w:val="18"/>
              </w:rPr>
              <w:t xml:space="preserve">L07</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FR-208</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SHOULD</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Pyramiding en tranches avec déplacement des stops.</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L10</w:t>
            </w:r>
          </w:p>
        </w:tc>
      </w:tr>
      <w:tr>
        <w:tc>
          <w:tcPr>
            <w:tcW w:type="dxa" w:w="1000"/>
            <w:tcMar>
              <w:top w:type="dxa" w:w="50"/>
              <w:left w:type="dxa" w:w="90"/>
              <w:bottom w:type="dxa" w:w="50"/>
              <w:right w:type="dxa" w:w="90"/>
            </w:tcMar>
            <w:vAlign w:val="center"/>
          </w:tcPr>
          <w:p>
            <w:pPr>
              <w:spacing w:after="0" w:line="240"/>
            </w:pPr>
            <w:r>
              <w:rPr>
                <w:sz w:val="18"/>
                <w:szCs w:val="18"/>
              </w:rPr>
              <w:t xml:space="preserve">FR-209</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Vérifier les liens OCO ; alerter sur double exécution.</w:t>
            </w:r>
          </w:p>
        </w:tc>
        <w:tc>
          <w:tcPr>
            <w:tcW w:type="dxa" w:w="1300"/>
            <w:tcMar>
              <w:top w:type="dxa" w:w="50"/>
              <w:left w:type="dxa" w:w="90"/>
              <w:bottom w:type="dxa" w:w="50"/>
              <w:right w:type="dxa" w:w="90"/>
            </w:tcMar>
            <w:vAlign w:val="center"/>
          </w:tcPr>
          <w:p>
            <w:pPr>
              <w:spacing w:after="0" w:line="240"/>
            </w:pPr>
            <w:r>
              <w:rPr>
                <w:sz w:val="18"/>
                <w:szCs w:val="18"/>
              </w:rPr>
              <w:t xml:space="preserve">L06</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FR-210</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Journaliser les incidents courtier et leur impact.</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L06</w:t>
            </w:r>
          </w:p>
        </w:tc>
      </w:tr>
      <w:tr>
        <w:tc>
          <w:tcPr>
            <w:tcW w:type="dxa" w:w="1000"/>
            <w:tcMar>
              <w:top w:type="dxa" w:w="50"/>
              <w:left w:type="dxa" w:w="90"/>
              <w:bottom w:type="dxa" w:w="50"/>
              <w:right w:type="dxa" w:w="90"/>
            </w:tcMar>
            <w:vAlign w:val="center"/>
          </w:tcPr>
          <w:p>
            <w:pPr>
              <w:spacing w:after="0" w:line="240"/>
            </w:pPr>
            <w:r>
              <w:rPr>
                <w:sz w:val="18"/>
                <w:szCs w:val="18"/>
              </w:rPr>
              <w:t xml:space="preserve">FR-211</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Plans DCA avec allocation cible et règle d’accélération −15 %.</w:t>
            </w:r>
          </w:p>
        </w:tc>
        <w:tc>
          <w:tcPr>
            <w:tcW w:type="dxa" w:w="1300"/>
            <w:tcMar>
              <w:top w:type="dxa" w:w="50"/>
              <w:left w:type="dxa" w:w="90"/>
              <w:bottom w:type="dxa" w:w="50"/>
              <w:right w:type="dxa" w:w="90"/>
            </w:tcMar>
            <w:vAlign w:val="center"/>
          </w:tcPr>
          <w:p>
            <w:pPr>
              <w:spacing w:after="0" w:line="240"/>
            </w:pPr>
            <w:r>
              <w:rPr>
                <w:sz w:val="18"/>
                <w:szCs w:val="18"/>
              </w:rPr>
              <w:t xml:space="preserve">L13</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FR-212</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SHOULD</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Mesurer les chevauchements d’exposition entre ETF.</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L13</w:t>
            </w:r>
          </w:p>
        </w:tc>
      </w:tr>
      <w:tr>
        <w:tc>
          <w:tcPr>
            <w:tcW w:type="dxa" w:w="1000"/>
            <w:tcMar>
              <w:top w:type="dxa" w:w="50"/>
              <w:left w:type="dxa" w:w="90"/>
              <w:bottom w:type="dxa" w:w="50"/>
              <w:right w:type="dxa" w:w="90"/>
            </w:tcMar>
            <w:vAlign w:val="center"/>
          </w:tcPr>
          <w:p>
            <w:pPr>
              <w:spacing w:after="0" w:line="240"/>
            </w:pPr>
            <w:r>
              <w:rPr>
                <w:sz w:val="18"/>
                <w:szCs w:val="18"/>
              </w:rPr>
              <w:t xml:space="preserve">FR-213</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Interdire l’usage implicite des poches protégées.</w:t>
            </w:r>
          </w:p>
        </w:tc>
        <w:tc>
          <w:tcPr>
            <w:tcW w:type="dxa" w:w="1300"/>
            <w:tcMar>
              <w:top w:type="dxa" w:w="50"/>
              <w:left w:type="dxa" w:w="90"/>
              <w:bottom w:type="dxa" w:w="50"/>
              <w:right w:type="dxa" w:w="90"/>
            </w:tcMar>
            <w:vAlign w:val="center"/>
          </w:tcPr>
          <w:p>
            <w:pPr>
              <w:spacing w:after="0" w:line="240"/>
            </w:pPr>
            <w:r>
              <w:rPr>
                <w:sz w:val="18"/>
                <w:szCs w:val="18"/>
              </w:rPr>
              <w:t xml:space="preserve">L13</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FR-214</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SHOULD</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Moins-values imputables/reportables (statut estimatif).</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L13</w:t>
            </w:r>
          </w:p>
        </w:tc>
      </w:tr>
      <w:tr>
        <w:tc>
          <w:tcPr>
            <w:tcW w:type="dxa" w:w="1000"/>
            <w:tcMar>
              <w:top w:type="dxa" w:w="50"/>
              <w:left w:type="dxa" w:w="90"/>
              <w:bottom w:type="dxa" w:w="50"/>
              <w:right w:type="dxa" w:w="90"/>
            </w:tcMar>
            <w:vAlign w:val="center"/>
          </w:tcPr>
          <w:p>
            <w:pPr>
              <w:spacing w:after="0" w:line="240"/>
            </w:pPr>
            <w:r>
              <w:rPr>
                <w:sz w:val="18"/>
                <w:szCs w:val="18"/>
              </w:rPr>
              <w:t xml:space="preserve">FR-215</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Revue rituelle générée en moins de 15 minutes.</w:t>
            </w:r>
          </w:p>
        </w:tc>
        <w:tc>
          <w:tcPr>
            <w:tcW w:type="dxa" w:w="1300"/>
            <w:tcMar>
              <w:top w:type="dxa" w:w="50"/>
              <w:left w:type="dxa" w:w="90"/>
              <w:bottom w:type="dxa" w:w="50"/>
              <w:right w:type="dxa" w:w="90"/>
            </w:tcMar>
            <w:vAlign w:val="center"/>
          </w:tcPr>
          <w:p>
            <w:pPr>
              <w:spacing w:after="0" w:line="240"/>
            </w:pPr>
            <w:r>
              <w:rPr>
                <w:sz w:val="18"/>
                <w:szCs w:val="18"/>
              </w:rPr>
              <w:t xml:space="preserve">L12</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FR-216</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SHOULD</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Concentration des gains et efficacité des renforts.</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L16</w:t>
            </w:r>
          </w:p>
        </w:tc>
      </w:tr>
      <w:tr>
        <w:tc>
          <w:tcPr>
            <w:tcW w:type="dxa" w:w="1000"/>
            <w:tcMar>
              <w:top w:type="dxa" w:w="50"/>
              <w:left w:type="dxa" w:w="90"/>
              <w:bottom w:type="dxa" w:w="50"/>
              <w:right w:type="dxa" w:w="90"/>
            </w:tcMar>
            <w:vAlign w:val="center"/>
          </w:tcPr>
          <w:p>
            <w:pPr>
              <w:spacing w:after="0" w:line="240"/>
            </w:pPr>
            <w:r>
              <w:rPr>
                <w:sz w:val="18"/>
                <w:szCs w:val="18"/>
              </w:rPr>
              <w:t xml:space="preserve">FR-217</w:t>
            </w:r>
          </w:p>
        </w:tc>
        <w:tc>
          <w:tcPr>
            <w:tcW w:type="dxa" w:w="1000"/>
            <w:tcMar>
              <w:top w:type="dxa" w:w="50"/>
              <w:left w:type="dxa" w:w="90"/>
              <w:bottom w:type="dxa" w:w="50"/>
              <w:right w:type="dxa" w:w="90"/>
            </w:tcMar>
            <w:vAlign w:val="center"/>
          </w:tcPr>
          <w:p>
            <w:pPr>
              <w:spacing w:after="0" w:line="240"/>
            </w:pPr>
            <w:r>
              <w:rPr>
                <w:sz w:val="18"/>
                <w:szCs w:val="18"/>
              </w:rPr>
              <w:t xml:space="preserve">SHOULD</w:t>
            </w:r>
          </w:p>
        </w:tc>
        <w:tc>
          <w:tcPr>
            <w:tcW w:type="dxa" w:w="6338"/>
            <w:tcMar>
              <w:top w:type="dxa" w:w="50"/>
              <w:left w:type="dxa" w:w="90"/>
              <w:bottom w:type="dxa" w:w="50"/>
              <w:right w:type="dxa" w:w="90"/>
            </w:tcMar>
            <w:vAlign w:val="center"/>
          </w:tcPr>
          <w:p>
            <w:pPr>
              <w:spacing w:after="0" w:line="240"/>
            </w:pPr>
            <w:r>
              <w:rPr>
                <w:sz w:val="18"/>
                <w:szCs w:val="18"/>
              </w:rPr>
              <w:t xml:space="preserve">Intégration n8n sans déplacer les calculs métier.</w:t>
            </w:r>
          </w:p>
        </w:tc>
        <w:tc>
          <w:tcPr>
            <w:tcW w:type="dxa" w:w="1300"/>
            <w:tcMar>
              <w:top w:type="dxa" w:w="50"/>
              <w:left w:type="dxa" w:w="90"/>
              <w:bottom w:type="dxa" w:w="50"/>
              <w:right w:type="dxa" w:w="90"/>
            </w:tcMar>
            <w:vAlign w:val="center"/>
          </w:tcPr>
          <w:p>
            <w:pPr>
              <w:spacing w:after="0" w:line="240"/>
            </w:pPr>
            <w:r>
              <w:rPr>
                <w:sz w:val="18"/>
                <w:szCs w:val="18"/>
              </w:rPr>
              <w:t xml:space="preserve">L21</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FR-218</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Chargement manuel complet de toutes les données via l’interface.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L03–L04</w:t>
            </w:r>
          </w:p>
        </w:tc>
      </w:tr>
      <w:tr>
        <w:tc>
          <w:tcPr>
            <w:tcW w:type="dxa" w:w="1000"/>
            <w:tcMar>
              <w:top w:type="dxa" w:w="50"/>
              <w:left w:type="dxa" w:w="90"/>
              <w:bottom w:type="dxa" w:w="50"/>
              <w:right w:type="dxa" w:w="90"/>
            </w:tcMar>
            <w:vAlign w:val="center"/>
          </w:tcPr>
          <w:p>
            <w:pPr>
              <w:spacing w:after="0" w:line="240"/>
            </w:pPr>
            <w:r>
              <w:rPr>
                <w:sz w:val="18"/>
                <w:szCs w:val="18"/>
              </w:rPr>
              <w:t xml:space="preserve">FR-219</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Workflow de session guidé, statuts et erreurs auditables.</w:t>
            </w:r>
          </w:p>
        </w:tc>
        <w:tc>
          <w:tcPr>
            <w:tcW w:type="dxa" w:w="1300"/>
            <w:tcMar>
              <w:top w:type="dxa" w:w="50"/>
              <w:left w:type="dxa" w:w="90"/>
              <w:bottom w:type="dxa" w:w="50"/>
              <w:right w:type="dxa" w:w="90"/>
            </w:tcMar>
            <w:vAlign w:val="center"/>
          </w:tcPr>
          <w:p>
            <w:pPr>
              <w:spacing w:after="0" w:line="240"/>
            </w:pPr>
            <w:r>
              <w:rPr>
                <w:sz w:val="18"/>
                <w:szCs w:val="18"/>
              </w:rPr>
              <w:t xml:space="preserve">L12</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FR-220</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APIs idempotentes identiques en manuel et en automatique.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L20</w:t>
            </w:r>
          </w:p>
        </w:tc>
      </w:tr>
      <w:tr>
        <w:tc>
          <w:tcPr>
            <w:tcW w:type="dxa" w:w="1000"/>
            <w:tcMar>
              <w:top w:type="dxa" w:w="50"/>
              <w:left w:type="dxa" w:w="90"/>
              <w:bottom w:type="dxa" w:w="50"/>
              <w:right w:type="dxa" w:w="90"/>
            </w:tcMar>
            <w:vAlign w:val="center"/>
          </w:tcPr>
          <w:p>
            <w:pPr>
              <w:spacing w:after="0" w:line="240"/>
            </w:pPr>
            <w:r>
              <w:rPr>
                <w:sz w:val="18"/>
                <w:szCs w:val="18"/>
              </w:rPr>
              <w:t xml:space="preserve">FR-221</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Mode manuel maintenu comme secours après activation n8n.</w:t>
            </w:r>
          </w:p>
        </w:tc>
        <w:tc>
          <w:tcPr>
            <w:tcW w:type="dxa" w:w="1300"/>
            <w:tcMar>
              <w:top w:type="dxa" w:w="50"/>
              <w:left w:type="dxa" w:w="90"/>
              <w:bottom w:type="dxa" w:w="50"/>
              <w:right w:type="dxa" w:w="90"/>
            </w:tcMar>
            <w:vAlign w:val="center"/>
          </w:tcPr>
          <w:p>
            <w:pPr>
              <w:spacing w:after="0" w:line="240"/>
            </w:pPr>
            <w:r>
              <w:rPr>
                <w:sz w:val="18"/>
                <w:szCs w:val="18"/>
              </w:rPr>
              <w:t xml:space="preserve">L25</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FR-222</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Activer chaque workflow n8n après recette parallèle validée.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L25</w:t>
            </w:r>
          </w:p>
        </w:tc>
      </w:tr>
      <w:tr>
        <w:tc>
          <w:tcPr>
            <w:tcW w:type="dxa" w:w="1000"/>
            <w:tcMar>
              <w:top w:type="dxa" w:w="50"/>
              <w:left w:type="dxa" w:w="90"/>
              <w:bottom w:type="dxa" w:w="50"/>
              <w:right w:type="dxa" w:w="90"/>
            </w:tcMar>
            <w:vAlign w:val="center"/>
          </w:tcPr>
          <w:p>
            <w:pPr>
              <w:spacing w:after="0" w:line="240"/>
            </w:pPr>
            <w:r>
              <w:rPr>
                <w:sz w:val="18"/>
                <w:szCs w:val="18"/>
              </w:rPr>
              <w:t xml:space="preserve">FR-230</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Référentiel des places : MIC, fuseau, sessions, jours fériés, demi-séances.</w:t>
            </w:r>
          </w:p>
        </w:tc>
        <w:tc>
          <w:tcPr>
            <w:tcW w:type="dxa" w:w="1300"/>
            <w:tcMar>
              <w:top w:type="dxa" w:w="50"/>
              <w:left w:type="dxa" w:w="90"/>
              <w:bottom w:type="dxa" w:w="50"/>
              <w:right w:type="dxa" w:w="90"/>
            </w:tcMar>
            <w:vAlign w:val="center"/>
          </w:tcPr>
          <w:p>
            <w:pPr>
              <w:spacing w:after="0" w:line="240"/>
            </w:pPr>
            <w:r>
              <w:rPr>
                <w:sz w:val="18"/>
                <w:szCs w:val="18"/>
              </w:rPr>
              <w:t xml:space="preserve">L02b</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FR-231</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Une place de référence unique par instrument (double cotation, ADR).</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L01</w:t>
            </w:r>
          </w:p>
        </w:tc>
      </w:tr>
      <w:tr>
        <w:tc>
          <w:tcPr>
            <w:tcW w:type="dxa" w:w="1000"/>
            <w:tcMar>
              <w:top w:type="dxa" w:w="50"/>
              <w:left w:type="dxa" w:w="90"/>
              <w:bottom w:type="dxa" w:w="50"/>
              <w:right w:type="dxa" w:w="90"/>
            </w:tcMar>
            <w:vAlign w:val="center"/>
          </w:tcPr>
          <w:p>
            <w:pPr>
              <w:spacing w:after="0" w:line="240"/>
            </w:pPr>
            <w:r>
              <w:rPr>
                <w:sz w:val="18"/>
                <w:szCs w:val="18"/>
              </w:rPr>
              <w:t xml:space="preserve">FR-232</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Tout cours associé à une place et une devise ; aucun mélange implicite.</w:t>
            </w:r>
          </w:p>
        </w:tc>
        <w:tc>
          <w:tcPr>
            <w:tcW w:type="dxa" w:w="1300"/>
            <w:tcMar>
              <w:top w:type="dxa" w:w="50"/>
              <w:left w:type="dxa" w:w="90"/>
              <w:bottom w:type="dxa" w:w="50"/>
              <w:right w:type="dxa" w:w="90"/>
            </w:tcMar>
            <w:vAlign w:val="center"/>
          </w:tcPr>
          <w:p>
            <w:pPr>
              <w:spacing w:after="0" w:line="240"/>
            </w:pPr>
            <w:r>
              <w:rPr>
                <w:sz w:val="18"/>
                <w:szCs w:val="18"/>
              </w:rPr>
              <w:t xml:space="preserve">L02</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FR-233</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Valorisation multi-devises horodatée ; P/L titre et P/L change séparés.</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L05</w:t>
            </w:r>
          </w:p>
        </w:tc>
      </w:tr>
      <w:tr>
        <w:tc>
          <w:tcPr>
            <w:tcW w:type="dxa" w:w="1000"/>
            <w:tcMar>
              <w:top w:type="dxa" w:w="50"/>
              <w:left w:type="dxa" w:w="90"/>
              <w:bottom w:type="dxa" w:w="50"/>
              <w:right w:type="dxa" w:w="90"/>
            </w:tcMar>
            <w:vAlign w:val="center"/>
          </w:tcPr>
          <w:p>
            <w:pPr>
              <w:spacing w:after="0" w:line="240"/>
            </w:pPr>
            <w:r>
              <w:rPr>
                <w:sz w:val="18"/>
                <w:szCs w:val="18"/>
              </w:rPr>
              <w:t xml:space="preserve">FR-234</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Exposition par devise et stress de change ±5 % / ±10 %.</w:t>
            </w:r>
          </w:p>
        </w:tc>
        <w:tc>
          <w:tcPr>
            <w:tcW w:type="dxa" w:w="1300"/>
            <w:tcMar>
              <w:top w:type="dxa" w:w="50"/>
              <w:left w:type="dxa" w:w="90"/>
              <w:bottom w:type="dxa" w:w="50"/>
              <w:right w:type="dxa" w:w="90"/>
            </w:tcMar>
            <w:vAlign w:val="center"/>
          </w:tcPr>
          <w:p>
            <w:pPr>
              <w:spacing w:after="0" w:line="240"/>
            </w:pPr>
            <w:r>
              <w:rPr>
                <w:sz w:val="18"/>
                <w:szCs w:val="18"/>
              </w:rPr>
              <w:t xml:space="preserve">L07</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FR-235</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Gates d’indice paramétrés par marché, jamais transposés.</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L08</w:t>
            </w:r>
          </w:p>
        </w:tc>
      </w:tr>
      <w:tr>
        <w:tc>
          <w:tcPr>
            <w:tcW w:type="dxa" w:w="1000"/>
            <w:tcMar>
              <w:top w:type="dxa" w:w="50"/>
              <w:left w:type="dxa" w:w="90"/>
              <w:bottom w:type="dxa" w:w="50"/>
              <w:right w:type="dxa" w:w="90"/>
            </w:tcMar>
            <w:vAlign w:val="center"/>
          </w:tcPr>
          <w:p>
            <w:pPr>
              <w:spacing w:after="0" w:line="240"/>
            </w:pPr>
            <w:r>
              <w:rPr>
                <w:sz w:val="18"/>
                <w:szCs w:val="18"/>
              </w:rPr>
              <w:t xml:space="preserve">FR-236</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Fenêtres no-go par banque centrale (Fed, BCE, BoE, SNB) et par marché.</w:t>
            </w:r>
          </w:p>
        </w:tc>
        <w:tc>
          <w:tcPr>
            <w:tcW w:type="dxa" w:w="1300"/>
            <w:tcMar>
              <w:top w:type="dxa" w:w="50"/>
              <w:left w:type="dxa" w:w="90"/>
              <w:bottom w:type="dxa" w:w="50"/>
              <w:right w:type="dxa" w:w="90"/>
            </w:tcMar>
            <w:vAlign w:val="center"/>
          </w:tcPr>
          <w:p>
            <w:pPr>
              <w:spacing w:after="0" w:line="240"/>
            </w:pPr>
            <w:r>
              <w:rPr>
                <w:sz w:val="18"/>
                <w:szCs w:val="18"/>
              </w:rPr>
              <w:t xml:space="preserve">L08</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FR-237</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Règles horaires converties en heure locale de place, heure d’été gérée.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L02b</w:t>
            </w:r>
          </w:p>
        </w:tc>
      </w:tr>
      <w:tr>
        <w:tc>
          <w:tcPr>
            <w:tcW w:type="dxa" w:w="1000"/>
            <w:tcMar>
              <w:top w:type="dxa" w:w="50"/>
              <w:left w:type="dxa" w:w="90"/>
              <w:bottom w:type="dxa" w:w="50"/>
              <w:right w:type="dxa" w:w="90"/>
            </w:tcMar>
            <w:vAlign w:val="center"/>
          </w:tcPr>
          <w:p>
            <w:pPr>
              <w:spacing w:after="0" w:line="240"/>
            </w:pPr>
            <w:r>
              <w:rPr>
                <w:sz w:val="18"/>
                <w:szCs w:val="18"/>
              </w:rPr>
              <w:t xml:space="preserve">FR-238</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Cycle de règlement par marché (T+1 US, T+2 Europe) dans le cash disponible.</w:t>
            </w:r>
          </w:p>
        </w:tc>
        <w:tc>
          <w:tcPr>
            <w:tcW w:type="dxa" w:w="1300"/>
            <w:tcMar>
              <w:top w:type="dxa" w:w="50"/>
              <w:left w:type="dxa" w:w="90"/>
              <w:bottom w:type="dxa" w:w="50"/>
              <w:right w:type="dxa" w:w="90"/>
            </w:tcMar>
            <w:vAlign w:val="center"/>
          </w:tcPr>
          <w:p>
            <w:pPr>
              <w:spacing w:after="0" w:line="240"/>
            </w:pPr>
            <w:r>
              <w:rPr>
                <w:sz w:val="18"/>
                <w:szCs w:val="18"/>
              </w:rPr>
              <w:t xml:space="preserve">L05</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FR-239</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SHOULD</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Retenue à la source estimative par pays et par enveloppe.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L19</w:t>
            </w:r>
          </w:p>
        </w:tc>
      </w:tr>
      <w:tr>
        <w:tc>
          <w:tcPr>
            <w:tcW w:type="dxa" w:w="1000"/>
            <w:tcMar>
              <w:top w:type="dxa" w:w="50"/>
              <w:left w:type="dxa" w:w="90"/>
              <w:bottom w:type="dxa" w:w="50"/>
              <w:right w:type="dxa" w:w="90"/>
            </w:tcMar>
            <w:vAlign w:val="center"/>
          </w:tcPr>
          <w:p>
            <w:pPr>
              <w:spacing w:after="0" w:line="240"/>
            </w:pPr>
            <w:r>
              <w:rPr>
                <w:sz w:val="18"/>
                <w:szCs w:val="18"/>
              </w:rPr>
              <w:t xml:space="preserve">FR-240</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Éligibilité PEA par pays de l’émetteur ; blocage du routage non éligible.</w:t>
            </w:r>
          </w:p>
        </w:tc>
        <w:tc>
          <w:tcPr>
            <w:tcW w:type="dxa" w:w="1300"/>
            <w:tcMar>
              <w:top w:type="dxa" w:w="50"/>
              <w:left w:type="dxa" w:w="90"/>
              <w:bottom w:type="dxa" w:w="50"/>
              <w:right w:type="dxa" w:w="90"/>
            </w:tcMar>
            <w:vAlign w:val="center"/>
          </w:tcPr>
          <w:p>
            <w:pPr>
              <w:spacing w:after="0" w:line="240"/>
            </w:pPr>
            <w:r>
              <w:rPr>
                <w:sz w:val="18"/>
                <w:szCs w:val="18"/>
              </w:rPr>
              <w:t xml:space="preserve">L13</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FR-241</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SHOULD</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Filtre de liquidité par place (ADV, spread) et plafond de taille.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L08</w:t>
            </w:r>
          </w:p>
        </w:tc>
      </w:tr>
      <w:tr>
        <w:tc>
          <w:tcPr>
            <w:tcW w:type="dxa" w:w="1000"/>
            <w:tcMar>
              <w:top w:type="dxa" w:w="50"/>
              <w:left w:type="dxa" w:w="90"/>
              <w:bottom w:type="dxa" w:w="50"/>
              <w:right w:type="dxa" w:w="90"/>
            </w:tcMar>
            <w:vAlign w:val="center"/>
          </w:tcPr>
          <w:p>
            <w:pPr>
              <w:spacing w:after="0" w:line="240"/>
            </w:pPr>
            <w:r>
              <w:rPr>
                <w:sz w:val="18"/>
                <w:szCs w:val="18"/>
              </w:rPr>
              <w:t xml:space="preserve">FR-242</w:t>
            </w:r>
          </w:p>
        </w:tc>
        <w:tc>
          <w:tcPr>
            <w:tcW w:type="dxa" w:w="1000"/>
            <w:tcMar>
              <w:top w:type="dxa" w:w="50"/>
              <w:left w:type="dxa" w:w="90"/>
              <w:bottom w:type="dxa" w:w="50"/>
              <w:right w:type="dxa" w:w="90"/>
            </w:tcMar>
            <w:vAlign w:val="center"/>
          </w:tcPr>
          <w:p>
            <w:pPr>
              <w:spacing w:after="0" w:line="240"/>
            </w:pPr>
            <w:r>
              <w:rPr>
                <w:sz w:val="18"/>
                <w:szCs w:val="18"/>
              </w:rPr>
              <w:t xml:space="preserve">SHOULD</w:t>
            </w:r>
          </w:p>
        </w:tc>
        <w:tc>
          <w:tcPr>
            <w:tcW w:type="dxa" w:w="6338"/>
            <w:tcMar>
              <w:top w:type="dxa" w:w="50"/>
              <w:left w:type="dxa" w:w="90"/>
              <w:bottom w:type="dxa" w:w="50"/>
              <w:right w:type="dxa" w:w="90"/>
            </w:tcMar>
            <w:vAlign w:val="center"/>
          </w:tcPr>
          <w:p>
            <w:pPr>
              <w:spacing w:after="0" w:line="240"/>
            </w:pPr>
            <w:r>
              <w:rPr>
                <w:sz w:val="18"/>
                <w:szCs w:val="18"/>
              </w:rPr>
              <w:t xml:space="preserve">Sources de signaux hors France saisissables avec la même traçabilité.</w:t>
            </w:r>
          </w:p>
        </w:tc>
        <w:tc>
          <w:tcPr>
            <w:tcW w:type="dxa" w:w="1300"/>
            <w:tcMar>
              <w:top w:type="dxa" w:w="50"/>
              <w:left w:type="dxa" w:w="90"/>
              <w:bottom w:type="dxa" w:w="50"/>
              <w:right w:type="dxa" w:w="90"/>
            </w:tcMar>
            <w:vAlign w:val="center"/>
          </w:tcPr>
          <w:p>
            <w:pPr>
              <w:spacing w:after="0" w:line="240"/>
            </w:pPr>
            <w:r>
              <w:rPr>
                <w:sz w:val="18"/>
                <w:szCs w:val="18"/>
              </w:rPr>
              <w:t xml:space="preserve">L14</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FR-243</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SHOULD</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KPI et attribution par marché, zone et devise.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L11</w:t>
            </w:r>
          </w:p>
        </w:tc>
      </w:tr>
      <w:tr>
        <w:tc>
          <w:tcPr>
            <w:tcW w:type="dxa" w:w="1000"/>
            <w:tcMar>
              <w:top w:type="dxa" w:w="50"/>
              <w:left w:type="dxa" w:w="90"/>
              <w:bottom w:type="dxa" w:w="50"/>
              <w:right w:type="dxa" w:w="90"/>
            </w:tcMar>
            <w:vAlign w:val="center"/>
          </w:tcPr>
          <w:p>
            <w:pPr>
              <w:spacing w:after="0" w:line="240"/>
            </w:pPr>
            <w:r>
              <w:rPr>
                <w:sz w:val="18"/>
                <w:szCs w:val="18"/>
              </w:rPr>
              <w:t xml:space="preserve">FR-244</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Interdiction du SRD et du levier hors Euronext Paris.</w:t>
            </w:r>
          </w:p>
        </w:tc>
        <w:tc>
          <w:tcPr>
            <w:tcW w:type="dxa" w:w="1300"/>
            <w:tcMar>
              <w:top w:type="dxa" w:w="50"/>
              <w:left w:type="dxa" w:w="90"/>
              <w:bottom w:type="dxa" w:w="50"/>
              <w:right w:type="dxa" w:w="90"/>
            </w:tcMar>
            <w:vAlign w:val="center"/>
          </w:tcPr>
          <w:p>
            <w:pPr>
              <w:spacing w:after="0" w:line="240"/>
            </w:pPr>
            <w:r>
              <w:rPr>
                <w:sz w:val="18"/>
                <w:szCs w:val="18"/>
              </w:rPr>
              <w:t xml:space="preserve">L08</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FR-250</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Remontée de stop normative proposée à chaque session ; invariant « ne descend jamais » testé comme propriété, exception unique sur opérations sur titres.</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L08b</w:t>
            </w:r>
          </w:p>
        </w:tc>
      </w:tr>
      <w:tr>
        <w:tc>
          <w:tcPr>
            <w:tcW w:type="dxa" w:w="1000"/>
            <w:tcMar>
              <w:top w:type="dxa" w:w="50"/>
              <w:left w:type="dxa" w:w="90"/>
              <w:bottom w:type="dxa" w:w="50"/>
              <w:right w:type="dxa" w:w="90"/>
            </w:tcMar>
            <w:vAlign w:val="center"/>
          </w:tcPr>
          <w:p>
            <w:pPr>
              <w:spacing w:after="0" w:line="240"/>
            </w:pPr>
            <w:r>
              <w:rPr>
                <w:sz w:val="18"/>
                <w:szCs w:val="18"/>
              </w:rPr>
              <w:t xml:space="preserve">FR-251</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Rupture de stop évaluée en clôture ; écart avec l’ordre courtier intraday affiché, jamais corrigé automatiquement.</w:t>
            </w:r>
          </w:p>
        </w:tc>
        <w:tc>
          <w:tcPr>
            <w:tcW w:type="dxa" w:w="1300"/>
            <w:tcMar>
              <w:top w:type="dxa" w:w="50"/>
              <w:left w:type="dxa" w:w="90"/>
              <w:bottom w:type="dxa" w:w="50"/>
              <w:right w:type="dxa" w:w="90"/>
            </w:tcMar>
            <w:vAlign w:val="center"/>
          </w:tcPr>
          <w:p>
            <w:pPr>
              <w:spacing w:after="0" w:line="240"/>
            </w:pPr>
            <w:r>
              <w:rPr>
                <w:sz w:val="18"/>
                <w:szCs w:val="18"/>
              </w:rPr>
              <w:t xml:space="preserve">L08b</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FR-252</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SHOULD</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Cliquet sur objectifs et allègements partiels proposés, jamais exécutés d’office.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L08b</w:t>
            </w:r>
          </w:p>
        </w:tc>
      </w:tr>
      <w:tr>
        <w:tc>
          <w:tcPr>
            <w:tcW w:type="dxa" w:w="1000"/>
            <w:tcMar>
              <w:top w:type="dxa" w:w="50"/>
              <w:left w:type="dxa" w:w="90"/>
              <w:bottom w:type="dxa" w:w="50"/>
              <w:right w:type="dxa" w:w="90"/>
            </w:tcMar>
            <w:vAlign w:val="center"/>
          </w:tcPr>
          <w:p>
            <w:pPr>
              <w:spacing w:after="0" w:line="240"/>
            </w:pPr>
            <w:r>
              <w:rPr>
                <w:sz w:val="18"/>
                <w:szCs w:val="18"/>
              </w:rPr>
              <w:t xml:space="preserve">FR-253</w:t>
            </w:r>
          </w:p>
        </w:tc>
        <w:tc>
          <w:tcPr>
            <w:tcW w:type="dxa" w:w="1000"/>
            <w:tcMar>
              <w:top w:type="dxa" w:w="50"/>
              <w:left w:type="dxa" w:w="90"/>
              <w:bottom w:type="dxa" w:w="50"/>
              <w:right w:type="dxa" w:w="90"/>
            </w:tcMar>
            <w:vAlign w:val="center"/>
          </w:tcPr>
          <w:p>
            <w:pPr>
              <w:spacing w:after="0" w:line="240"/>
            </w:pPr>
            <w:r>
              <w:rPr>
                <w:sz w:val="18"/>
                <w:szCs w:val="18"/>
              </w:rPr>
              <w:t xml:space="preserve">SHOULD</w:t>
            </w:r>
          </w:p>
        </w:tc>
        <w:tc>
          <w:tcPr>
            <w:tcW w:type="dxa" w:w="6338"/>
            <w:tcMar>
              <w:top w:type="dxa" w:w="50"/>
              <w:left w:type="dxa" w:w="90"/>
              <w:bottom w:type="dxa" w:w="50"/>
              <w:right w:type="dxa" w:w="90"/>
            </w:tcMar>
            <w:vAlign w:val="center"/>
          </w:tcPr>
          <w:p>
            <w:pPr>
              <w:spacing w:after="0" w:line="240"/>
            </w:pPr>
            <w:r>
              <w:rPr>
                <w:sz w:val="18"/>
                <w:szCs w:val="18"/>
              </w:rPr>
              <w:t xml:space="preserve">Critère de rotation chiffré produisant deux scénarios liés SELL + BUY.</w:t>
            </w:r>
          </w:p>
        </w:tc>
        <w:tc>
          <w:tcPr>
            <w:tcW w:type="dxa" w:w="1300"/>
            <w:tcMar>
              <w:top w:type="dxa" w:w="50"/>
              <w:left w:type="dxa" w:w="90"/>
              <w:bottom w:type="dxa" w:w="50"/>
              <w:right w:type="dxa" w:w="90"/>
            </w:tcMar>
            <w:vAlign w:val="center"/>
          </w:tcPr>
          <w:p>
            <w:pPr>
              <w:spacing w:after="0" w:line="240"/>
            </w:pPr>
            <w:r>
              <w:rPr>
                <w:sz w:val="18"/>
                <w:szCs w:val="18"/>
              </w:rPr>
              <w:t xml:space="preserve">L08b</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FR-254</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Le score des newsletters alimente une seule composante du scoring, sans double comptage.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L09</w:t>
            </w:r>
          </w:p>
        </w:tc>
      </w:tr>
      <w:tr>
        <w:tc>
          <w:tcPr>
            <w:tcW w:type="dxa" w:w="1000"/>
            <w:tcMar>
              <w:top w:type="dxa" w:w="50"/>
              <w:left w:type="dxa" w:w="90"/>
              <w:bottom w:type="dxa" w:w="50"/>
              <w:right w:type="dxa" w:w="90"/>
            </w:tcMar>
            <w:vAlign w:val="center"/>
          </w:tcPr>
          <w:p>
            <w:pPr>
              <w:spacing w:after="0" w:line="240"/>
            </w:pPr>
            <w:r>
              <w:rPr>
                <w:sz w:val="18"/>
                <w:szCs w:val="18"/>
              </w:rPr>
              <w:t xml:space="preserve">FR-260</w:t>
            </w:r>
          </w:p>
        </w:tc>
        <w:tc>
          <w:tcPr>
            <w:tcW w:type="dxa" w:w="1000"/>
            <w:tcMar>
              <w:top w:type="dxa" w:w="50"/>
              <w:left w:type="dxa" w:w="90"/>
              <w:bottom w:type="dxa" w:w="50"/>
              <w:right w:type="dxa" w:w="90"/>
            </w:tcMar>
            <w:vAlign w:val="center"/>
          </w:tcPr>
          <w:p>
            <w:pPr>
              <w:spacing w:after="0" w:line="240"/>
            </w:pPr>
            <w:r>
              <w:rPr>
                <w:sz w:val="18"/>
                <w:szCs w:val="18"/>
              </w:rPr>
              <w:t xml:space="preserve">MUST</w:t>
            </w:r>
          </w:p>
        </w:tc>
        <w:tc>
          <w:tcPr>
            <w:tcW w:type="dxa" w:w="6338"/>
            <w:tcMar>
              <w:top w:type="dxa" w:w="50"/>
              <w:left w:type="dxa" w:w="90"/>
              <w:bottom w:type="dxa" w:w="50"/>
              <w:right w:type="dxa" w:w="90"/>
            </w:tcMar>
            <w:vAlign w:val="center"/>
          </w:tcPr>
          <w:p>
            <w:pPr>
              <w:spacing w:after="0" w:line="240"/>
            </w:pPr>
            <w:r>
              <w:rPr>
                <w:sz w:val="18"/>
                <w:szCs w:val="18"/>
              </w:rPr>
              <w:t xml:space="preserve">Mapping source → composante du score, versionné ; plafonnement du fait répété.</w:t>
            </w:r>
          </w:p>
        </w:tc>
        <w:tc>
          <w:tcPr>
            <w:tcW w:type="dxa" w:w="1300"/>
            <w:tcMar>
              <w:top w:type="dxa" w:w="50"/>
              <w:left w:type="dxa" w:w="90"/>
              <w:bottom w:type="dxa" w:w="50"/>
              <w:right w:type="dxa" w:w="90"/>
            </w:tcMar>
            <w:vAlign w:val="center"/>
          </w:tcPr>
          <w:p>
            <w:pPr>
              <w:spacing w:after="0" w:line="240"/>
            </w:pPr>
            <w:r>
              <w:rPr>
                <w:sz w:val="18"/>
                <w:szCs w:val="18"/>
              </w:rPr>
              <w:t xml:space="preserve">L14</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FR-261</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Décomposition du score par source et par extrait, reconstructible.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L09, L14</w:t>
            </w:r>
          </w:p>
        </w:tc>
      </w:tr>
      <w:tr>
        <w:tc>
          <w:tcPr>
            <w:tcW w:type="dxa" w:w="1000"/>
            <w:tcMar>
              <w:top w:type="dxa" w:w="50"/>
              <w:left w:type="dxa" w:w="90"/>
              <w:bottom w:type="dxa" w:w="50"/>
              <w:right w:type="dxa" w:w="90"/>
            </w:tcMar>
            <w:vAlign w:val="center"/>
          </w:tcPr>
          <w:p>
            <w:pPr>
              <w:spacing w:after="0" w:line="240"/>
            </w:pPr>
            <w:r>
              <w:rPr>
                <w:sz w:val="18"/>
                <w:szCs w:val="18"/>
              </w:rPr>
              <w:t xml:space="preserve">FR-262</w:t>
            </w:r>
          </w:p>
        </w:tc>
        <w:tc>
          <w:tcPr>
            <w:tcW w:type="dxa" w:w="1000"/>
            <w:tcMar>
              <w:top w:type="dxa" w:w="50"/>
              <w:left w:type="dxa" w:w="90"/>
              <w:bottom w:type="dxa" w:w="50"/>
              <w:right w:type="dxa" w:w="90"/>
            </w:tcMar>
            <w:vAlign w:val="center"/>
          </w:tcPr>
          <w:p>
            <w:pPr>
              <w:spacing w:after="0" w:line="240"/>
            </w:pPr>
            <w:r>
              <w:rPr>
                <w:sz w:val="18"/>
                <w:szCs w:val="18"/>
              </w:rPr>
              <w:t xml:space="preserve">SHOULD</w:t>
            </w:r>
          </w:p>
        </w:tc>
        <w:tc>
          <w:tcPr>
            <w:tcW w:type="dxa" w:w="6338"/>
            <w:tcMar>
              <w:top w:type="dxa" w:w="50"/>
              <w:left w:type="dxa" w:w="90"/>
              <w:bottom w:type="dxa" w:w="50"/>
              <w:right w:type="dxa" w:w="90"/>
            </w:tcMar>
            <w:vAlign w:val="center"/>
          </w:tcPr>
          <w:p>
            <w:pPr>
              <w:spacing w:after="0" w:line="240"/>
            </w:pPr>
            <w:r>
              <w:rPr>
                <w:sz w:val="18"/>
                <w:szCs w:val="18"/>
              </w:rPr>
              <w:t xml:space="preserve">Table de correspondance versionnée des notations propriétaires vers l’échelle interne.</w:t>
            </w:r>
          </w:p>
        </w:tc>
        <w:tc>
          <w:tcPr>
            <w:tcW w:type="dxa" w:w="1300"/>
            <w:tcMar>
              <w:top w:type="dxa" w:w="50"/>
              <w:left w:type="dxa" w:w="90"/>
              <w:bottom w:type="dxa" w:w="50"/>
              <w:right w:type="dxa" w:w="90"/>
            </w:tcMar>
            <w:vAlign w:val="center"/>
          </w:tcPr>
          <w:p>
            <w:pPr>
              <w:spacing w:after="0" w:line="240"/>
            </w:pPr>
            <w:r>
              <w:rPr>
                <w:sz w:val="18"/>
                <w:szCs w:val="18"/>
              </w:rPr>
              <w:t xml:space="preserve">L14</w:t>
            </w:r>
          </w:p>
        </w:tc>
      </w:tr>
      <w:tr>
        <w:tc>
          <w:tcPr>
            <w:tcW w:type="dxa" w:w="1000"/>
            <w:shd w:fill="F7F9FC" w:val="clear"/>
            <w:tcMar>
              <w:top w:type="dxa" w:w="50"/>
              <w:left w:type="dxa" w:w="90"/>
              <w:bottom w:type="dxa" w:w="50"/>
              <w:right w:type="dxa" w:w="90"/>
            </w:tcMar>
            <w:vAlign w:val="center"/>
          </w:tcPr>
          <w:p>
            <w:pPr>
              <w:spacing w:after="0" w:line="240"/>
            </w:pPr>
            <w:r>
              <w:rPr>
                <w:sz w:val="18"/>
                <w:szCs w:val="18"/>
              </w:rPr>
              <w:t xml:space="preserve">FR-263</w:t>
            </w:r>
          </w:p>
        </w:tc>
        <w:tc>
          <w:tcPr>
            <w:tcW w:type="dxa" w:w="1000"/>
            <w:shd w:fill="F7F9FC" w:val="clear"/>
            <w:tcMar>
              <w:top w:type="dxa" w:w="50"/>
              <w:left w:type="dxa" w:w="90"/>
              <w:bottom w:type="dxa" w:w="50"/>
              <w:right w:type="dxa" w:w="90"/>
            </w:tcMar>
            <w:vAlign w:val="center"/>
          </w:tcPr>
          <w:p>
            <w:pPr>
              <w:spacing w:after="0" w:line="240"/>
            </w:pPr>
            <w:r>
              <w:rPr>
                <w:sz w:val="18"/>
                <w:szCs w:val="18"/>
              </w:rPr>
              <w:t xml:space="preserve">MUST</w:t>
            </w:r>
          </w:p>
        </w:tc>
        <w:tc>
          <w:tcPr>
            <w:tcW w:type="dxa" w:w="6338"/>
            <w:shd w:fill="F7F9FC" w:val="clear"/>
            <w:tcMar>
              <w:top w:type="dxa" w:w="50"/>
              <w:left w:type="dxa" w:w="90"/>
              <w:bottom w:type="dxa" w:w="50"/>
              <w:right w:type="dxa" w:w="90"/>
            </w:tcMar>
            <w:vAlign w:val="center"/>
          </w:tcPr>
          <w:p>
            <w:pPr>
              <w:spacing w:after="0" w:line="240"/>
            </w:pPr>
            <w:r>
              <w:rPr>
                <w:sz w:val="18"/>
                <w:szCs w:val="18"/>
              </w:rPr>
              <w:t xml:space="preserve">Source non caractérisée limitée au statut WATCH, sans contribution au score.</w:t>
            </w:r>
          </w:p>
        </w:tc>
        <w:tc>
          <w:tcPr>
            <w:tcW w:type="dxa" w:w="1300"/>
            <w:shd w:fill="F7F9FC" w:val="clear"/>
            <w:tcMar>
              <w:top w:type="dxa" w:w="50"/>
              <w:left w:type="dxa" w:w="90"/>
              <w:bottom w:type="dxa" w:w="50"/>
              <w:right w:type="dxa" w:w="90"/>
            </w:tcMar>
            <w:vAlign w:val="center"/>
          </w:tcPr>
          <w:p>
            <w:pPr>
              <w:spacing w:after="0" w:line="240"/>
            </w:pPr>
            <w:r>
              <w:rPr>
                <w:sz w:val="18"/>
                <w:szCs w:val="18"/>
              </w:rPr>
              <w:t xml:space="preserve">L14</w:t>
            </w:r>
          </w:p>
        </w:tc>
      </w:tr>
      <w:tr>
        <w:tc>
          <w:tcPr>
            <w:tcW w:type="dxa" w:w="1000"/>
            <w:tcMar>
              <w:top w:type="dxa" w:w="50"/>
              <w:left w:type="dxa" w:w="90"/>
              <w:bottom w:type="dxa" w:w="50"/>
              <w:right w:type="dxa" w:w="90"/>
            </w:tcMar>
            <w:vAlign w:val="center"/>
          </w:tcPr>
          <w:p>
            <w:pPr>
              <w:spacing w:after="0" w:line="240"/>
            </w:pPr>
            <w:r>
              <w:rPr>
                <w:sz w:val="18"/>
                <w:szCs w:val="18"/>
              </w:rPr>
              <w:t xml:space="preserve">FR-264</w:t>
            </w:r>
          </w:p>
        </w:tc>
        <w:tc>
          <w:tcPr>
            <w:tcW w:type="dxa" w:w="1000"/>
            <w:tcMar>
              <w:top w:type="dxa" w:w="50"/>
              <w:left w:type="dxa" w:w="90"/>
              <w:bottom w:type="dxa" w:w="50"/>
              <w:right w:type="dxa" w:w="90"/>
            </w:tcMar>
            <w:vAlign w:val="center"/>
          </w:tcPr>
          <w:p>
            <w:pPr>
              <w:spacing w:after="0" w:line="240"/>
            </w:pPr>
            <w:r>
              <w:rPr>
                <w:sz w:val="18"/>
                <w:szCs w:val="18"/>
              </w:rPr>
              <w:t xml:space="preserve">SHOULD</w:t>
            </w:r>
          </w:p>
        </w:tc>
        <w:tc>
          <w:tcPr>
            <w:tcW w:type="dxa" w:w="6338"/>
            <w:tcMar>
              <w:top w:type="dxa" w:w="50"/>
              <w:left w:type="dxa" w:w="90"/>
              <w:bottom w:type="dxa" w:w="50"/>
              <w:right w:type="dxa" w:w="90"/>
            </w:tcMar>
            <w:vAlign w:val="center"/>
          </w:tcPr>
          <w:p>
            <w:pPr>
              <w:spacing w:after="0" w:line="240"/>
            </w:pPr>
            <w:r>
              <w:rPr>
                <w:sz w:val="18"/>
                <w:szCs w:val="18"/>
              </w:rPr>
              <w:t xml:space="preserve">Mesure de performance par source et rétrogradation sur décision consignée.</w:t>
            </w:r>
          </w:p>
        </w:tc>
        <w:tc>
          <w:tcPr>
            <w:tcW w:type="dxa" w:w="1300"/>
            <w:tcMar>
              <w:top w:type="dxa" w:w="50"/>
              <w:left w:type="dxa" w:w="90"/>
              <w:bottom w:type="dxa" w:w="50"/>
              <w:right w:type="dxa" w:w="90"/>
            </w:tcMar>
            <w:vAlign w:val="center"/>
          </w:tcPr>
          <w:p>
            <w:pPr>
              <w:spacing w:after="0" w:line="240"/>
            </w:pPr>
            <w:r>
              <w:rPr>
                <w:sz w:val="18"/>
                <w:szCs w:val="18"/>
              </w:rPr>
              <w:t xml:space="preserve">L17</w:t>
            </w:r>
          </w:p>
        </w:tc>
      </w:tr>
    </w:tbl>
    <w:p>
      <w:r>
        <w:br w:type="page"/>
      </w:r>
    </w:p>
    <w:p>
      <w:pPr>
        <w:pStyle w:val="Heading1"/>
        <w:spacing w:after="140" w:before="300"/>
      </w:pPr>
      <w:r>
        <w:t xml:space="preserve">Annexe B — Dictionnaire KPI</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238"/>
      </w:tblGrid>
      <w:tr>
        <w:trPr>
          <w:tblHeader/>
        </w:trPr>
        <w:tc>
          <w:tcPr>
            <w:tcW w:type="dxa" w:w="2400"/>
            <w:shd w:fill="1F3864" w:val="clear"/>
            <w:tcMar>
              <w:top w:type="dxa" w:w="50"/>
              <w:left w:type="dxa" w:w="90"/>
              <w:bottom w:type="dxa" w:w="50"/>
              <w:right w:type="dxa" w:w="90"/>
            </w:tcMar>
            <w:vAlign w:val="center"/>
          </w:tcPr>
          <w:p>
            <w:pPr>
              <w:spacing w:after="0" w:line="240"/>
            </w:pPr>
            <w:r>
              <w:rPr>
                <w:b/>
                <w:bCs/>
                <w:color w:val="FFFFFF"/>
                <w:sz w:val="18"/>
                <w:szCs w:val="18"/>
              </w:rPr>
              <w:t xml:space="preserve">KPI</w:t>
            </w:r>
          </w:p>
        </w:tc>
        <w:tc>
          <w:tcPr>
            <w:tcW w:type="dxa" w:w="7238"/>
            <w:shd w:fill="1F3864" w:val="clear"/>
            <w:tcMar>
              <w:top w:type="dxa" w:w="50"/>
              <w:left w:type="dxa" w:w="90"/>
              <w:bottom w:type="dxa" w:w="50"/>
              <w:right w:type="dxa" w:w="90"/>
            </w:tcMar>
            <w:vAlign w:val="center"/>
          </w:tcPr>
          <w:p>
            <w:pPr>
              <w:spacing w:after="0" w:line="240"/>
            </w:pPr>
            <w:r>
              <w:rPr>
                <w:b/>
                <w:bCs/>
                <w:color w:val="FFFFFF"/>
                <w:sz w:val="18"/>
                <w:szCs w:val="18"/>
              </w:rPr>
              <w:t xml:space="preserve">Définition</w:t>
            </w:r>
          </w:p>
        </w:tc>
      </w:tr>
      <w:tr>
        <w:tc>
          <w:tcPr>
            <w:tcW w:type="dxa" w:w="2400"/>
            <w:tcMar>
              <w:top w:type="dxa" w:w="50"/>
              <w:left w:type="dxa" w:w="90"/>
              <w:bottom w:type="dxa" w:w="50"/>
              <w:right w:type="dxa" w:w="90"/>
            </w:tcMar>
            <w:vAlign w:val="center"/>
          </w:tcPr>
          <w:p>
            <w:pPr>
              <w:spacing w:after="0" w:line="240"/>
            </w:pPr>
            <w:r>
              <w:rPr>
                <w:sz w:val="18"/>
                <w:szCs w:val="18"/>
              </w:rPr>
              <w:t xml:space="preserve">P/L réalisé net</w:t>
            </w:r>
          </w:p>
        </w:tc>
        <w:tc>
          <w:tcPr>
            <w:tcW w:type="dxa" w:w="7238"/>
            <w:tcMar>
              <w:top w:type="dxa" w:w="50"/>
              <w:left w:type="dxa" w:w="90"/>
              <w:bottom w:type="dxa" w:w="50"/>
              <w:right w:type="dxa" w:w="90"/>
            </w:tcMar>
            <w:vAlign w:val="center"/>
          </w:tcPr>
          <w:p>
            <w:pPr>
              <w:spacing w:after="0" w:line="240"/>
            </w:pPr>
            <w:r>
              <w:rPr>
                <w:sz w:val="18"/>
                <w:szCs w:val="18"/>
              </w:rPr>
              <w:t xml:space="preserve">Somme des gains/pertes clôturés après frais, change et financement SRD.</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P/L latent</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Valeur de marché − coût de revient, séparé du P/L change.</w:t>
            </w:r>
          </w:p>
        </w:tc>
      </w:tr>
      <w:tr>
        <w:tc>
          <w:tcPr>
            <w:tcW w:type="dxa" w:w="2400"/>
            <w:tcMar>
              <w:top w:type="dxa" w:w="50"/>
              <w:left w:type="dxa" w:w="90"/>
              <w:bottom w:type="dxa" w:w="50"/>
              <w:right w:type="dxa" w:w="90"/>
            </w:tcMar>
            <w:vAlign w:val="center"/>
          </w:tcPr>
          <w:p>
            <w:pPr>
              <w:spacing w:after="0" w:line="240"/>
            </w:pPr>
            <w:r>
              <w:rPr>
                <w:sz w:val="18"/>
                <w:szCs w:val="18"/>
              </w:rPr>
              <w:t xml:space="preserve">TWR</w:t>
            </w:r>
          </w:p>
        </w:tc>
        <w:tc>
          <w:tcPr>
            <w:tcW w:type="dxa" w:w="7238"/>
            <w:tcMar>
              <w:top w:type="dxa" w:w="50"/>
              <w:left w:type="dxa" w:w="90"/>
              <w:bottom w:type="dxa" w:w="50"/>
              <w:right w:type="dxa" w:w="90"/>
            </w:tcMar>
            <w:vAlign w:val="center"/>
          </w:tcPr>
          <w:p>
            <w:pPr>
              <w:spacing w:after="0" w:line="240"/>
            </w:pPr>
            <w:r>
              <w:rPr>
                <w:sz w:val="18"/>
                <w:szCs w:val="18"/>
              </w:rPr>
              <w:t xml:space="preserve">Rendement chaîné neutralisant les apports/retraits.</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XIRR / MWR</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Rendement interne tenant compte de la date des flux.</w:t>
            </w:r>
          </w:p>
        </w:tc>
      </w:tr>
      <w:tr>
        <w:tc>
          <w:tcPr>
            <w:tcW w:type="dxa" w:w="2400"/>
            <w:tcMar>
              <w:top w:type="dxa" w:w="50"/>
              <w:left w:type="dxa" w:w="90"/>
              <w:bottom w:type="dxa" w:w="50"/>
              <w:right w:type="dxa" w:w="90"/>
            </w:tcMar>
            <w:vAlign w:val="center"/>
          </w:tcPr>
          <w:p>
            <w:pPr>
              <w:spacing w:after="0" w:line="240"/>
            </w:pPr>
            <w:r>
              <w:rPr>
                <w:sz w:val="18"/>
                <w:szCs w:val="18"/>
              </w:rPr>
              <w:t xml:space="preserve">Hit rate</w:t>
            </w:r>
          </w:p>
        </w:tc>
        <w:tc>
          <w:tcPr>
            <w:tcW w:type="dxa" w:w="7238"/>
            <w:tcMar>
              <w:top w:type="dxa" w:w="50"/>
              <w:left w:type="dxa" w:w="90"/>
              <w:bottom w:type="dxa" w:w="50"/>
              <w:right w:type="dxa" w:w="90"/>
            </w:tcMar>
            <w:vAlign w:val="center"/>
          </w:tcPr>
          <w:p>
            <w:pPr>
              <w:spacing w:after="0" w:line="240"/>
            </w:pPr>
            <w:r>
              <w:rPr>
                <w:sz w:val="18"/>
                <w:szCs w:val="18"/>
              </w:rPr>
              <w:t xml:space="preserve">Trades gagnants / trades clôturés.</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Profit factor</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Somme des gains bruts / valeur absolue des pertes brutes.</w:t>
            </w:r>
          </w:p>
        </w:tc>
      </w:tr>
      <w:tr>
        <w:tc>
          <w:tcPr>
            <w:tcW w:type="dxa" w:w="2400"/>
            <w:tcMar>
              <w:top w:type="dxa" w:w="50"/>
              <w:left w:type="dxa" w:w="90"/>
              <w:bottom w:type="dxa" w:w="50"/>
              <w:right w:type="dxa" w:w="90"/>
            </w:tcMar>
            <w:vAlign w:val="center"/>
          </w:tcPr>
          <w:p>
            <w:pPr>
              <w:spacing w:after="0" w:line="240"/>
            </w:pPr>
            <w:r>
              <w:rPr>
                <w:sz w:val="18"/>
                <w:szCs w:val="18"/>
              </w:rPr>
              <w:t xml:space="preserve">Expectancy</w:t>
            </w:r>
          </w:p>
        </w:tc>
        <w:tc>
          <w:tcPr>
            <w:tcW w:type="dxa" w:w="7238"/>
            <w:tcMar>
              <w:top w:type="dxa" w:w="50"/>
              <w:left w:type="dxa" w:w="90"/>
              <w:bottom w:type="dxa" w:w="50"/>
              <w:right w:type="dxa" w:w="90"/>
            </w:tcMar>
            <w:vAlign w:val="center"/>
          </w:tcPr>
          <w:p>
            <w:pPr>
              <w:spacing w:after="0" w:line="240"/>
            </w:pPr>
            <w:r>
              <w:rPr>
                <w:sz w:val="18"/>
                <w:szCs w:val="18"/>
              </w:rPr>
              <w:t xml:space="preserve">P(gain) × gain moyen − P(perte) × perte moyenne.</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Payoff ratio</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Gain moyen / valeur absolue de la perte moyenne.</w:t>
            </w:r>
          </w:p>
        </w:tc>
      </w:tr>
      <w:tr>
        <w:tc>
          <w:tcPr>
            <w:tcW w:type="dxa" w:w="2400"/>
            <w:tcMar>
              <w:top w:type="dxa" w:w="50"/>
              <w:left w:type="dxa" w:w="90"/>
              <w:bottom w:type="dxa" w:w="50"/>
              <w:right w:type="dxa" w:w="90"/>
            </w:tcMar>
            <w:vAlign w:val="center"/>
          </w:tcPr>
          <w:p>
            <w:pPr>
              <w:spacing w:after="0" w:line="240"/>
            </w:pPr>
            <w:r>
              <w:rPr>
                <w:sz w:val="18"/>
                <w:szCs w:val="18"/>
              </w:rPr>
              <w:t xml:space="preserve">Max drawdown</w:t>
            </w:r>
          </w:p>
        </w:tc>
        <w:tc>
          <w:tcPr>
            <w:tcW w:type="dxa" w:w="7238"/>
            <w:tcMar>
              <w:top w:type="dxa" w:w="50"/>
              <w:left w:type="dxa" w:w="90"/>
              <w:bottom w:type="dxa" w:w="50"/>
              <w:right w:type="dxa" w:w="90"/>
            </w:tcMar>
            <w:vAlign w:val="center"/>
          </w:tcPr>
          <w:p>
            <w:pPr>
              <w:spacing w:after="0" w:line="240"/>
            </w:pPr>
            <w:r>
              <w:rPr>
                <w:sz w:val="18"/>
                <w:szCs w:val="18"/>
              </w:rPr>
              <w:t xml:space="preserve">Plus forte baisse entre un sommet et le creux suivant.</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MFE / MAE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Excursion favorable / adverse maximale pendant le trade.</w:t>
            </w:r>
          </w:p>
        </w:tc>
      </w:tr>
      <w:tr>
        <w:tc>
          <w:tcPr>
            <w:tcW w:type="dxa" w:w="2400"/>
            <w:tcMar>
              <w:top w:type="dxa" w:w="50"/>
              <w:left w:type="dxa" w:w="90"/>
              <w:bottom w:type="dxa" w:w="50"/>
              <w:right w:type="dxa" w:w="90"/>
            </w:tcMar>
            <w:vAlign w:val="center"/>
          </w:tcPr>
          <w:p>
            <w:pPr>
              <w:spacing w:after="0" w:line="240"/>
            </w:pPr>
            <w:r>
              <w:rPr>
                <w:sz w:val="18"/>
                <w:szCs w:val="18"/>
              </w:rPr>
              <w:t xml:space="preserve">Efficacité du stop</w:t>
            </w:r>
          </w:p>
        </w:tc>
        <w:tc>
          <w:tcPr>
            <w:tcW w:type="dxa" w:w="7238"/>
            <w:tcMar>
              <w:top w:type="dxa" w:w="50"/>
              <w:left w:type="dxa" w:w="90"/>
              <w:bottom w:type="dxa" w:w="50"/>
              <w:right w:type="dxa" w:w="90"/>
            </w:tcMar>
            <w:vAlign w:val="center"/>
          </w:tcPr>
          <w:p>
            <w:pPr>
              <w:spacing w:after="0" w:line="240"/>
            </w:pPr>
            <w:r>
              <w:rPr>
                <w:sz w:val="18"/>
                <w:szCs w:val="18"/>
              </w:rPr>
              <w:t xml:space="preserve">Perte évitée ou profit protégé par rapport à la trajectoire ultérieure.</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Slippage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Prix exécuté − prix prévu, signé selon le sens.</w:t>
            </w:r>
          </w:p>
        </w:tc>
      </w:tr>
      <w:tr>
        <w:tc>
          <w:tcPr>
            <w:tcW w:type="dxa" w:w="2400"/>
            <w:tcMar>
              <w:top w:type="dxa" w:w="50"/>
              <w:left w:type="dxa" w:w="90"/>
              <w:bottom w:type="dxa" w:w="50"/>
              <w:right w:type="dxa" w:w="90"/>
            </w:tcMar>
            <w:vAlign w:val="center"/>
          </w:tcPr>
          <w:p>
            <w:pPr>
              <w:spacing w:after="0" w:line="240"/>
            </w:pPr>
            <w:r>
              <w:rPr>
                <w:sz w:val="18"/>
                <w:szCs w:val="18"/>
              </w:rPr>
              <w:t xml:space="preserve">R multiple</w:t>
            </w:r>
          </w:p>
        </w:tc>
        <w:tc>
          <w:tcPr>
            <w:tcW w:type="dxa" w:w="7238"/>
            <w:tcMar>
              <w:top w:type="dxa" w:w="50"/>
              <w:left w:type="dxa" w:w="90"/>
              <w:bottom w:type="dxa" w:w="50"/>
              <w:right w:type="dxa" w:w="90"/>
            </w:tcMar>
            <w:vAlign w:val="center"/>
          </w:tcPr>
          <w:p>
            <w:pPr>
              <w:spacing w:after="0" w:line="240"/>
            </w:pPr>
            <w:r>
              <w:rPr>
                <w:sz w:val="18"/>
                <w:szCs w:val="18"/>
              </w:rPr>
              <w:t xml:space="preserve">P/L net / risque initial du trade.</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Opportunity cost</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Performance d’une recommandation non exécutée ou d’un capital resté en cash.</w:t>
            </w:r>
          </w:p>
        </w:tc>
      </w:tr>
      <w:tr>
        <w:tc>
          <w:tcPr>
            <w:tcW w:type="dxa" w:w="2400"/>
            <w:tcMar>
              <w:top w:type="dxa" w:w="50"/>
              <w:left w:type="dxa" w:w="90"/>
              <w:bottom w:type="dxa" w:w="50"/>
              <w:right w:type="dxa" w:w="90"/>
            </w:tcMar>
            <w:vAlign w:val="center"/>
          </w:tcPr>
          <w:p>
            <w:pPr>
              <w:spacing w:after="0" w:line="240"/>
            </w:pPr>
            <w:r>
              <w:rPr>
                <w:sz w:val="18"/>
                <w:szCs w:val="18"/>
              </w:rPr>
              <w:t xml:space="preserve">Concentration</w:t>
            </w:r>
          </w:p>
        </w:tc>
        <w:tc>
          <w:tcPr>
            <w:tcW w:type="dxa" w:w="7238"/>
            <w:tcMar>
              <w:top w:type="dxa" w:w="50"/>
              <w:left w:type="dxa" w:w="90"/>
              <w:bottom w:type="dxa" w:w="50"/>
              <w:right w:type="dxa" w:w="90"/>
            </w:tcMar>
            <w:vAlign w:val="center"/>
          </w:tcPr>
          <w:p>
            <w:pPr>
              <w:spacing w:after="0" w:line="240"/>
            </w:pPr>
            <w:r>
              <w:rPr>
                <w:sz w:val="18"/>
                <w:szCs w:val="18"/>
              </w:rPr>
              <w:t xml:space="preserve">Poids maximal par ligne, secteur, marché, devise, thème ; part des N meilleurs trades dans le P/L.</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Turnover</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Volume total acheté/vendu rapporté au capital moyen.</w:t>
            </w:r>
          </w:p>
        </w:tc>
      </w:tr>
      <w:tr>
        <w:tc>
          <w:tcPr>
            <w:tcW w:type="dxa" w:w="2400"/>
            <w:tcMar>
              <w:top w:type="dxa" w:w="50"/>
              <w:left w:type="dxa" w:w="90"/>
              <w:bottom w:type="dxa" w:w="50"/>
              <w:right w:type="dxa" w:w="90"/>
            </w:tcMar>
            <w:vAlign w:val="center"/>
          </w:tcPr>
          <w:p>
            <w:pPr>
              <w:spacing w:after="0" w:line="240"/>
            </w:pPr>
            <w:r>
              <w:rPr>
                <w:sz w:val="18"/>
                <w:szCs w:val="18"/>
              </w:rPr>
              <w:t xml:space="preserve">P/L change</w:t>
            </w:r>
          </w:p>
        </w:tc>
        <w:tc>
          <w:tcPr>
            <w:tcW w:type="dxa" w:w="7238"/>
            <w:tcMar>
              <w:top w:type="dxa" w:w="50"/>
              <w:left w:type="dxa" w:w="90"/>
              <w:bottom w:type="dxa" w:w="50"/>
              <w:right w:type="dxa" w:w="90"/>
            </w:tcMar>
            <w:vAlign w:val="center"/>
          </w:tcPr>
          <w:p>
            <w:pPr>
              <w:spacing w:after="0" w:line="240"/>
            </w:pPr>
            <w:r>
              <w:rPr>
                <w:sz w:val="18"/>
                <w:szCs w:val="18"/>
              </w:rPr>
              <w:t xml:space="preserve">Part du résultat imputable à la variation de la devise, isolée du P/L titre (§7.8).</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Exposition devise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Valeur de marché par devise rapportée à la NAV, avec stress ±5 % et ±10 %.</w:t>
            </w:r>
          </w:p>
        </w:tc>
      </w:tr>
      <w:tr>
        <w:tc>
          <w:tcPr>
            <w:tcW w:type="dxa" w:w="2400"/>
            <w:tcMar>
              <w:top w:type="dxa" w:w="50"/>
              <w:left w:type="dxa" w:w="90"/>
              <w:bottom w:type="dxa" w:w="50"/>
              <w:right w:type="dxa" w:w="90"/>
            </w:tcMar>
            <w:vAlign w:val="center"/>
          </w:tcPr>
          <w:p>
            <w:pPr>
              <w:spacing w:after="0" w:line="240"/>
            </w:pPr>
            <w:r>
              <w:rPr>
                <w:sz w:val="18"/>
                <w:szCs w:val="18"/>
              </w:rPr>
              <w:t xml:space="preserve">Performance par marché</w:t>
            </w:r>
          </w:p>
        </w:tc>
        <w:tc>
          <w:tcPr>
            <w:tcW w:type="dxa" w:w="7238"/>
            <w:tcMar>
              <w:top w:type="dxa" w:w="50"/>
              <w:left w:type="dxa" w:w="90"/>
              <w:bottom w:type="dxa" w:w="50"/>
              <w:right w:type="dxa" w:w="90"/>
            </w:tcMar>
            <w:vAlign w:val="center"/>
          </w:tcPr>
          <w:p>
            <w:pPr>
              <w:spacing w:after="0" w:line="240"/>
            </w:pPr>
            <w:r>
              <w:rPr>
                <w:sz w:val="18"/>
                <w:szCs w:val="18"/>
              </w:rPr>
              <w:t xml:space="preserve">P/L, hit rate et profit factor calculés par place de référence et par zone (France, Europe, États-Unis).</w:t>
            </w:r>
          </w:p>
        </w:tc>
      </w:tr>
      <w:tr>
        <w:tc>
          <w:tcPr>
            <w:tcW w:type="dxa" w:w="2400"/>
            <w:shd w:fill="F7F9FC" w:val="clear"/>
            <w:tcMar>
              <w:top w:type="dxa" w:w="50"/>
              <w:left w:type="dxa" w:w="90"/>
              <w:bottom w:type="dxa" w:w="50"/>
              <w:right w:type="dxa" w:w="90"/>
            </w:tcMar>
            <w:vAlign w:val="center"/>
          </w:tcPr>
          <w:p>
            <w:pPr>
              <w:spacing w:after="0" w:line="240"/>
            </w:pPr>
            <w:r>
              <w:rPr>
                <w:sz w:val="18"/>
                <w:szCs w:val="18"/>
              </w:rPr>
              <w:t xml:space="preserve">Coût de la retenue à la source</w:t>
            </w:r>
          </w:p>
        </w:tc>
        <w:tc>
          <w:tcPr>
            <w:tcW w:type="dxa" w:w="7238"/>
            <w:shd w:fill="F7F9FC" w:val="clear"/>
            <w:tcMar>
              <w:top w:type="dxa" w:w="50"/>
              <w:left w:type="dxa" w:w="90"/>
              <w:bottom w:type="dxa" w:w="50"/>
              <w:right w:type="dxa" w:w="90"/>
            </w:tcMar>
            <w:vAlign w:val="center"/>
          </w:tcPr>
          <w:p>
            <w:pPr>
              <w:spacing w:after="0" w:line="240"/>
            </w:pPr>
            <w:r>
              <w:rPr>
                <w:sz w:val="18"/>
                <w:szCs w:val="18"/>
              </w:rPr>
              <w:t xml:space="preserve">Montant estimé retenu sur dividendes étrangers, rapporté au dividende brut annuel.</w:t>
            </w:r>
          </w:p>
        </w:tc>
      </w:tr>
    </w:tbl>
    <w:p>
      <w:pPr>
        <w:pStyle w:val="Heading1"/>
        <w:spacing w:after="140" w:before="300"/>
      </w:pPr>
      <w:r>
        <w:t xml:space="preserve">Annexe C — Glossaire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rPr>
          <w:tblHeader/>
        </w:trPr>
        <w:tc>
          <w:tcPr>
            <w:tcW w:type="dxa" w:w="3000"/>
            <w:shd w:fill="1F3864" w:val="clear"/>
            <w:tcMar>
              <w:top w:type="dxa" w:w="50"/>
              <w:left w:type="dxa" w:w="90"/>
              <w:bottom w:type="dxa" w:w="50"/>
              <w:right w:type="dxa" w:w="90"/>
            </w:tcMar>
            <w:vAlign w:val="center"/>
          </w:tcPr>
          <w:p>
            <w:pPr>
              <w:spacing w:after="0" w:line="240"/>
            </w:pPr>
            <w:r>
              <w:rPr>
                <w:b/>
                <w:bCs/>
                <w:color w:val="FFFFFF"/>
                <w:sz w:val="18"/>
                <w:szCs w:val="18"/>
              </w:rPr>
              <w:t xml:space="preserve">Terme</w:t>
            </w:r>
          </w:p>
        </w:tc>
        <w:tc>
          <w:tcPr>
            <w:tcW w:type="dxa" w:w="6638"/>
            <w:shd w:fill="1F3864" w:val="clear"/>
            <w:tcMar>
              <w:top w:type="dxa" w:w="50"/>
              <w:left w:type="dxa" w:w="90"/>
              <w:bottom w:type="dxa" w:w="50"/>
              <w:right w:type="dxa" w:w="90"/>
            </w:tcMar>
            <w:vAlign w:val="center"/>
          </w:tcPr>
          <w:p>
            <w:pPr>
              <w:spacing w:after="0" w:line="240"/>
            </w:pPr>
            <w:r>
              <w:rPr>
                <w:b/>
                <w:bCs/>
                <w:color w:val="FFFFFF"/>
                <w:sz w:val="18"/>
                <w:szCs w:val="18"/>
              </w:rPr>
              <w:t xml:space="preserve">Définition</w:t>
            </w:r>
          </w:p>
        </w:tc>
      </w:tr>
      <w:tr>
        <w:tc>
          <w:tcPr>
            <w:tcW w:type="dxa" w:w="3000"/>
            <w:tcMar>
              <w:top w:type="dxa" w:w="50"/>
              <w:left w:type="dxa" w:w="90"/>
              <w:bottom w:type="dxa" w:w="50"/>
              <w:right w:type="dxa" w:w="90"/>
            </w:tcMar>
            <w:vAlign w:val="center"/>
          </w:tcPr>
          <w:p>
            <w:pPr>
              <w:spacing w:after="0" w:line="240"/>
            </w:pPr>
            <w:r>
              <w:rPr>
                <w:sz w:val="18"/>
                <w:szCs w:val="18"/>
              </w:rPr>
              <w:t xml:space="preserve">CTO / PEA / SRD</w:t>
            </w:r>
          </w:p>
        </w:tc>
        <w:tc>
          <w:tcPr>
            <w:tcW w:type="dxa" w:w="6638"/>
            <w:tcMar>
              <w:top w:type="dxa" w:w="50"/>
              <w:left w:type="dxa" w:w="90"/>
              <w:bottom w:type="dxa" w:w="50"/>
              <w:right w:type="dxa" w:w="90"/>
            </w:tcMar>
            <w:vAlign w:val="center"/>
          </w:tcPr>
          <w:p>
            <w:pPr>
              <w:spacing w:after="0" w:line="240"/>
            </w:pPr>
            <w:r>
              <w:rPr>
                <w:sz w:val="18"/>
                <w:szCs w:val="18"/>
              </w:rPr>
              <w:t xml:space="preserve">Compte-titres ordinaire / Plan d’épargne en actions / Service de règlement différé.</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OCO</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One Cancels the Other : l’exécution d’un ordre annule l’autre.</w:t>
            </w:r>
          </w:p>
        </w:tc>
      </w:tr>
      <w:tr>
        <w:tc>
          <w:tcPr>
            <w:tcW w:type="dxa" w:w="3000"/>
            <w:tcMar>
              <w:top w:type="dxa" w:w="50"/>
              <w:left w:type="dxa" w:w="90"/>
              <w:bottom w:type="dxa" w:w="50"/>
              <w:right w:type="dxa" w:w="90"/>
            </w:tcMar>
            <w:vAlign w:val="center"/>
          </w:tcPr>
          <w:p>
            <w:pPr>
              <w:spacing w:after="0" w:line="240"/>
            </w:pPr>
            <w:r>
              <w:rPr>
                <w:sz w:val="18"/>
                <w:szCs w:val="18"/>
              </w:rPr>
              <w:t xml:space="preserve">PRU / PMP</w:t>
            </w:r>
          </w:p>
        </w:tc>
        <w:tc>
          <w:tcPr>
            <w:tcW w:type="dxa" w:w="6638"/>
            <w:tcMar>
              <w:top w:type="dxa" w:w="50"/>
              <w:left w:type="dxa" w:w="90"/>
              <w:bottom w:type="dxa" w:w="50"/>
              <w:right w:type="dxa" w:w="90"/>
            </w:tcMar>
            <w:vAlign w:val="center"/>
          </w:tcPr>
          <w:p>
            <w:pPr>
              <w:spacing w:after="0" w:line="240"/>
            </w:pPr>
            <w:r>
              <w:rPr>
                <w:sz w:val="18"/>
                <w:szCs w:val="18"/>
              </w:rPr>
              <w:t xml:space="preserve">Prix de revient unitaire / prix moyen pondéré.</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OHLCV</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Open, High, Low, Close, Volume.</w:t>
            </w:r>
          </w:p>
        </w:tc>
      </w:tr>
      <w:tr>
        <w:tc>
          <w:tcPr>
            <w:tcW w:type="dxa" w:w="3000"/>
            <w:tcMar>
              <w:top w:type="dxa" w:w="50"/>
              <w:left w:type="dxa" w:w="90"/>
              <w:bottom w:type="dxa" w:w="50"/>
              <w:right w:type="dxa" w:w="90"/>
            </w:tcMar>
            <w:vAlign w:val="center"/>
          </w:tcPr>
          <w:p>
            <w:pPr>
              <w:spacing w:after="0" w:line="240"/>
            </w:pPr>
            <w:r>
              <w:rPr>
                <w:sz w:val="18"/>
                <w:szCs w:val="18"/>
              </w:rPr>
              <w:t xml:space="preserve">Gate</w:t>
            </w:r>
          </w:p>
        </w:tc>
        <w:tc>
          <w:tcPr>
            <w:tcW w:type="dxa" w:w="6638"/>
            <w:tcMar>
              <w:top w:type="dxa" w:w="50"/>
              <w:left w:type="dxa" w:w="90"/>
              <w:bottom w:type="dxa" w:w="50"/>
              <w:right w:type="dxa" w:w="90"/>
            </w:tcMar>
            <w:vAlign w:val="center"/>
          </w:tcPr>
          <w:p>
            <w:pPr>
              <w:spacing w:after="0" w:line="240"/>
            </w:pPr>
            <w:r>
              <w:rPr>
                <w:sz w:val="18"/>
                <w:szCs w:val="18"/>
              </w:rPr>
              <w:t xml:space="preserve">Condition préalable à l’armement d’un scénario (ex. clôture CAC 40 &gt; seuil).</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Heat</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Somme des pertes maximales théoriques jusqu’aux stops, toutes positions ouvertes.</w:t>
            </w:r>
          </w:p>
        </w:tc>
      </w:tr>
      <w:tr>
        <w:tc>
          <w:tcPr>
            <w:tcW w:type="dxa" w:w="3000"/>
            <w:tcMar>
              <w:top w:type="dxa" w:w="50"/>
              <w:left w:type="dxa" w:w="90"/>
              <w:bottom w:type="dxa" w:w="50"/>
              <w:right w:type="dxa" w:w="90"/>
            </w:tcMar>
            <w:vAlign w:val="center"/>
          </w:tcPr>
          <w:p>
            <w:pPr>
              <w:spacing w:after="0" w:line="240"/>
            </w:pPr>
            <w:r>
              <w:rPr>
                <w:sz w:val="18"/>
                <w:szCs w:val="18"/>
              </w:rPr>
              <w:t xml:space="preserve">Grade A / B</w:t>
            </w:r>
          </w:p>
        </w:tc>
        <w:tc>
          <w:tcPr>
            <w:tcW w:type="dxa" w:w="6638"/>
            <w:tcMar>
              <w:top w:type="dxa" w:w="50"/>
              <w:left w:type="dxa" w:w="90"/>
              <w:bottom w:type="dxa" w:w="50"/>
              <w:right w:type="dxa" w:w="90"/>
            </w:tcMar>
            <w:vAlign w:val="center"/>
          </w:tcPr>
          <w:p>
            <w:pPr>
              <w:spacing w:after="0" w:line="240"/>
            </w:pPr>
            <w:r>
              <w:rPr>
                <w:sz w:val="18"/>
                <w:szCs w:val="18"/>
              </w:rPr>
              <w:t xml:space="preserve">Niveaux de qualité de setup déterminant le budget de risque (1,00 % / 0,75 %).</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Pyramiding anti-martingale</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Renforts uniquement sur position gagnante, avec remontée des stops.</w:t>
            </w:r>
          </w:p>
        </w:tc>
      </w:tr>
      <w:tr>
        <w:tc>
          <w:tcPr>
            <w:tcW w:type="dxa" w:w="3000"/>
            <w:tcMar>
              <w:top w:type="dxa" w:w="50"/>
              <w:left w:type="dxa" w:w="90"/>
              <w:bottom w:type="dxa" w:w="50"/>
              <w:right w:type="dxa" w:w="90"/>
            </w:tcMar>
            <w:vAlign w:val="center"/>
          </w:tcPr>
          <w:p>
            <w:pPr>
              <w:spacing w:after="0" w:line="240"/>
            </w:pPr>
            <w:r>
              <w:rPr>
                <w:sz w:val="18"/>
                <w:szCs w:val="18"/>
              </w:rPr>
              <w:t xml:space="preserve">Snapshot</w:t>
            </w:r>
          </w:p>
        </w:tc>
        <w:tc>
          <w:tcPr>
            <w:tcW w:type="dxa" w:w="6638"/>
            <w:tcMar>
              <w:top w:type="dxa" w:w="50"/>
              <w:left w:type="dxa" w:w="90"/>
              <w:bottom w:type="dxa" w:w="50"/>
              <w:right w:type="dxa" w:w="90"/>
            </w:tcMar>
            <w:vAlign w:val="center"/>
          </w:tcPr>
          <w:p>
            <w:pPr>
              <w:spacing w:after="0" w:line="240"/>
            </w:pPr>
            <w:r>
              <w:rPr>
                <w:sz w:val="18"/>
                <w:szCs w:val="18"/>
              </w:rPr>
              <w:t xml:space="preserve">Photographie immuable des données à une date.</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StrategyVersion</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Version datée des règles de scoring, risque et décision.</w:t>
            </w:r>
          </w:p>
        </w:tc>
      </w:tr>
      <w:tr>
        <w:tc>
          <w:tcPr>
            <w:tcW w:type="dxa" w:w="3000"/>
            <w:tcMar>
              <w:top w:type="dxa" w:w="50"/>
              <w:left w:type="dxa" w:w="90"/>
              <w:bottom w:type="dxa" w:w="50"/>
              <w:right w:type="dxa" w:w="90"/>
            </w:tcMar>
            <w:vAlign w:val="center"/>
          </w:tcPr>
          <w:p>
            <w:pPr>
              <w:spacing w:after="0" w:line="240"/>
            </w:pPr>
            <w:r>
              <w:rPr>
                <w:sz w:val="18"/>
                <w:szCs w:val="18"/>
              </w:rPr>
              <w:t xml:space="preserve">Fixture / golden test</w:t>
            </w:r>
          </w:p>
        </w:tc>
        <w:tc>
          <w:tcPr>
            <w:tcW w:type="dxa" w:w="6638"/>
            <w:tcMar>
              <w:top w:type="dxa" w:w="50"/>
              <w:left w:type="dxa" w:w="90"/>
              <w:bottom w:type="dxa" w:w="50"/>
              <w:right w:type="dxa" w:w="90"/>
            </w:tcMar>
            <w:vAlign w:val="center"/>
          </w:tcPr>
          <w:p>
            <w:pPr>
              <w:spacing w:after="0" w:line="240"/>
            </w:pPr>
            <w:r>
              <w:rPr>
                <w:sz w:val="18"/>
                <w:szCs w:val="18"/>
              </w:rPr>
              <w:t xml:space="preserve">Fichier d’exemple anonymisé associé à un résultat attendu figé.</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ADR</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Architecture Decision Record : journal des décisions (90-decisions.md).</w:t>
            </w:r>
          </w:p>
        </w:tc>
      </w:tr>
      <w:tr>
        <w:tc>
          <w:tcPr>
            <w:tcW w:type="dxa" w:w="3000"/>
            <w:tcMar>
              <w:top w:type="dxa" w:w="50"/>
              <w:left w:type="dxa" w:w="90"/>
              <w:bottom w:type="dxa" w:w="50"/>
              <w:right w:type="dxa" w:w="90"/>
            </w:tcMar>
            <w:vAlign w:val="center"/>
          </w:tcPr>
          <w:p>
            <w:pPr>
              <w:spacing w:after="0" w:line="240"/>
            </w:pPr>
            <w:r>
              <w:rPr>
                <w:sz w:val="18"/>
                <w:szCs w:val="18"/>
              </w:rPr>
              <w:t xml:space="preserve">Lot</w:t>
            </w:r>
          </w:p>
        </w:tc>
        <w:tc>
          <w:tcPr>
            <w:tcW w:type="dxa" w:w="6638"/>
            <w:tcMar>
              <w:top w:type="dxa" w:w="50"/>
              <w:left w:type="dxa" w:w="90"/>
              <w:bottom w:type="dxa" w:w="50"/>
              <w:right w:type="dxa" w:w="90"/>
            </w:tcMar>
            <w:vAlign w:val="center"/>
          </w:tcPr>
          <w:p>
            <w:pPr>
              <w:spacing w:after="0" w:line="240"/>
            </w:pPr>
            <w:r>
              <w:rPr>
                <w:sz w:val="18"/>
                <w:szCs w:val="18"/>
              </w:rPr>
              <w:t xml:space="preserve">Unité de développement livrable en une session Claude Code.</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MIC</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Market Identifier Code (ISO 10383) : identifiant normalisé d’une place de cotation (XPAR, XNAS, XETR…).</w:t>
            </w:r>
          </w:p>
        </w:tc>
      </w:tr>
      <w:tr>
        <w:tc>
          <w:tcPr>
            <w:tcW w:type="dxa" w:w="3000"/>
            <w:tcMar>
              <w:top w:type="dxa" w:w="50"/>
              <w:left w:type="dxa" w:w="90"/>
              <w:bottom w:type="dxa" w:w="50"/>
              <w:right w:type="dxa" w:w="90"/>
            </w:tcMar>
            <w:vAlign w:val="center"/>
          </w:tcPr>
          <w:p>
            <w:pPr>
              <w:spacing w:after="0" w:line="240"/>
            </w:pPr>
            <w:r>
              <w:rPr>
                <w:sz w:val="18"/>
                <w:szCs w:val="18"/>
              </w:rPr>
              <w:t xml:space="preserve">Listing</w:t>
            </w:r>
          </w:p>
        </w:tc>
        <w:tc>
          <w:tcPr>
            <w:tcW w:type="dxa" w:w="6638"/>
            <w:tcMar>
              <w:top w:type="dxa" w:w="50"/>
              <w:left w:type="dxa" w:w="90"/>
              <w:bottom w:type="dxa" w:w="50"/>
              <w:right w:type="dxa" w:w="90"/>
            </w:tcMar>
            <w:vAlign w:val="center"/>
          </w:tcPr>
          <w:p>
            <w:pPr>
              <w:spacing w:after="0" w:line="240"/>
            </w:pPr>
            <w:r>
              <w:rPr>
                <w:sz w:val="18"/>
                <w:szCs w:val="18"/>
              </w:rPr>
              <w:t xml:space="preserve">Couple instrument × place de cotation, avec ticker, devise, horaires et liquidité propres.</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Place de référence</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Listing unique retenu pour valoriser un instrument et calculer ses scénarios et KPI.</w:t>
            </w:r>
          </w:p>
        </w:tc>
      </w:tr>
      <w:tr>
        <w:tc>
          <w:tcPr>
            <w:tcW w:type="dxa" w:w="3000"/>
            <w:tcMar>
              <w:top w:type="dxa" w:w="50"/>
              <w:left w:type="dxa" w:w="90"/>
              <w:bottom w:type="dxa" w:w="50"/>
              <w:right w:type="dxa" w:w="90"/>
            </w:tcMar>
            <w:vAlign w:val="center"/>
          </w:tcPr>
          <w:p>
            <w:pPr>
              <w:spacing w:after="0" w:line="240"/>
            </w:pPr>
            <w:r>
              <w:rPr>
                <w:sz w:val="18"/>
                <w:szCs w:val="18"/>
              </w:rPr>
              <w:t xml:space="preserve">ADR</w:t>
            </w:r>
          </w:p>
        </w:tc>
        <w:tc>
          <w:tcPr>
            <w:tcW w:type="dxa" w:w="6638"/>
            <w:tcMar>
              <w:top w:type="dxa" w:w="50"/>
              <w:left w:type="dxa" w:w="90"/>
              <w:bottom w:type="dxa" w:w="50"/>
              <w:right w:type="dxa" w:w="90"/>
            </w:tcMar>
            <w:vAlign w:val="center"/>
          </w:tcPr>
          <w:p>
            <w:pPr>
              <w:spacing w:after="0" w:line="240"/>
            </w:pPr>
            <w:r>
              <w:rPr>
                <w:sz w:val="18"/>
                <w:szCs w:val="18"/>
              </w:rPr>
              <w:t xml:space="preserve">American Depositary Receipt : certificat coté aux États-Unis représentant une action étrangère.</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ADV</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Average Daily Volume : volume quotidien moyen, utilisé comme filtre de liquidité et plafond de taille.</w:t>
            </w:r>
          </w:p>
        </w:tc>
      </w:tr>
      <w:tr>
        <w:tc>
          <w:tcPr>
            <w:tcW w:type="dxa" w:w="3000"/>
            <w:tcMar>
              <w:top w:type="dxa" w:w="50"/>
              <w:left w:type="dxa" w:w="90"/>
              <w:bottom w:type="dxa" w:w="50"/>
              <w:right w:type="dxa" w:w="90"/>
            </w:tcMar>
            <w:vAlign w:val="center"/>
          </w:tcPr>
          <w:p>
            <w:pPr>
              <w:spacing w:after="0" w:line="240"/>
            </w:pPr>
            <w:r>
              <w:rPr>
                <w:sz w:val="18"/>
                <w:szCs w:val="18"/>
              </w:rPr>
              <w:t xml:space="preserve">T+1 / T+2</w:t>
            </w:r>
          </w:p>
        </w:tc>
        <w:tc>
          <w:tcPr>
            <w:tcW w:type="dxa" w:w="6638"/>
            <w:tcMar>
              <w:top w:type="dxa" w:w="50"/>
              <w:left w:type="dxa" w:w="90"/>
              <w:bottom w:type="dxa" w:w="50"/>
              <w:right w:type="dxa" w:w="90"/>
            </w:tcMar>
            <w:vAlign w:val="center"/>
          </w:tcPr>
          <w:p>
            <w:pPr>
              <w:spacing w:after="0" w:line="240"/>
            </w:pPr>
            <w:r>
              <w:rPr>
                <w:sz w:val="18"/>
                <w:szCs w:val="18"/>
              </w:rPr>
              <w:t xml:space="preserve">Délai de règlement-livraison : un jour ouvré aux États-Unis, deux jours ouvrés en Europe.</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Heure d’été (DST)</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Le décalage Paris ↔ New York vaut 6 h en régime normal, mais 5 h ou 7 h pendant les fenêtres de transition désynchronisées (mi-mars, fin octobre).</w:t>
            </w:r>
          </w:p>
        </w:tc>
      </w:tr>
      <w:tr>
        <w:tc>
          <w:tcPr>
            <w:tcW w:type="dxa" w:w="3000"/>
            <w:tcMar>
              <w:top w:type="dxa" w:w="50"/>
              <w:left w:type="dxa" w:w="90"/>
              <w:bottom w:type="dxa" w:w="50"/>
              <w:right w:type="dxa" w:w="90"/>
            </w:tcMar>
            <w:vAlign w:val="center"/>
          </w:tcPr>
          <w:p>
            <w:pPr>
              <w:spacing w:after="0" w:line="240"/>
            </w:pPr>
            <w:r>
              <w:rPr>
                <w:sz w:val="18"/>
                <w:szCs w:val="18"/>
              </w:rPr>
              <w:t xml:space="preserve">Demi-séance</w:t>
            </w:r>
          </w:p>
        </w:tc>
        <w:tc>
          <w:tcPr>
            <w:tcW w:type="dxa" w:w="6638"/>
            <w:tcMar>
              <w:top w:type="dxa" w:w="50"/>
              <w:left w:type="dxa" w:w="90"/>
              <w:bottom w:type="dxa" w:w="50"/>
              <w:right w:type="dxa" w:w="90"/>
            </w:tcMar>
            <w:vAlign w:val="center"/>
          </w:tcPr>
          <w:p>
            <w:pPr>
              <w:spacing w:after="0" w:line="240"/>
            </w:pPr>
            <w:r>
              <w:rPr>
                <w:sz w:val="18"/>
                <w:szCs w:val="18"/>
              </w:rPr>
              <w:t xml:space="preserve">Séance écourtée : veilles de Thanksgiving et de Noël aux États-Unis, 24 et 31 décembre en Europe.</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Force relative (RS)</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Mesure de la performance d’un titre par rapport à l’ensemble du marché sur une période donnée ; alimente la composante technique.</w:t>
            </w:r>
          </w:p>
        </w:tc>
      </w:tr>
      <w:tr>
        <w:tc>
          <w:tcPr>
            <w:tcW w:type="dxa" w:w="3000"/>
            <w:tcMar>
              <w:top w:type="dxa" w:w="50"/>
              <w:left w:type="dxa" w:w="90"/>
              <w:bottom w:type="dxa" w:w="50"/>
              <w:right w:type="dxa" w:w="90"/>
            </w:tcMar>
            <w:vAlign w:val="center"/>
          </w:tcPr>
          <w:p>
            <w:pPr>
              <w:spacing w:after="0" w:line="240"/>
            </w:pPr>
            <w:r>
              <w:rPr>
                <w:sz w:val="18"/>
                <w:szCs w:val="18"/>
              </w:rPr>
              <w:t xml:space="preserve">Notation propriétaire</w:t>
            </w:r>
          </w:p>
        </w:tc>
        <w:tc>
          <w:tcPr>
            <w:tcW w:type="dxa" w:w="6638"/>
            <w:tcMar>
              <w:top w:type="dxa" w:w="50"/>
              <w:left w:type="dxa" w:w="90"/>
              <w:bottom w:type="dxa" w:w="50"/>
              <w:right w:type="dxa" w:w="90"/>
            </w:tcMar>
            <w:vAlign w:val="center"/>
          </w:tcPr>
          <w:p>
            <w:pPr>
              <w:spacing w:after="0" w:line="240"/>
            </w:pPr>
            <w:r>
              <w:rPr>
                <w:sz w:val="18"/>
                <w:szCs w:val="18"/>
              </w:rPr>
              <w:t xml:space="preserve">Note publiée par une source externe sur sa propre échelle. Elle est convertie par table de correspondance versionnée, jamais recopiée dans le score interne.</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État de marché</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Diagnostic quotidien de la tendance générale publié par une source externe ; utilisé comme gate américain, en cumul du seuil d’indice.</w:t>
            </w:r>
          </w:p>
        </w:tc>
      </w:tr>
      <w:tr>
        <w:tc>
          <w:tcPr>
            <w:tcW w:type="dxa" w:w="3000"/>
            <w:tcMar>
              <w:top w:type="dxa" w:w="50"/>
              <w:left w:type="dxa" w:w="90"/>
              <w:bottom w:type="dxa" w:w="50"/>
              <w:right w:type="dxa" w:w="90"/>
            </w:tcMar>
            <w:vAlign w:val="center"/>
          </w:tcPr>
          <w:p>
            <w:pPr>
              <w:spacing w:after="0" w:line="240"/>
            </w:pPr>
            <w:r>
              <w:rPr>
                <w:sz w:val="18"/>
                <w:szCs w:val="18"/>
              </w:rPr>
              <w:t xml:space="preserve">Double comptage</w:t>
            </w:r>
          </w:p>
        </w:tc>
        <w:tc>
          <w:tcPr>
            <w:tcW w:type="dxa" w:w="6638"/>
            <w:tcMar>
              <w:top w:type="dxa" w:w="50"/>
              <w:left w:type="dxa" w:w="90"/>
              <w:bottom w:type="dxa" w:w="50"/>
              <w:right w:type="dxa" w:w="90"/>
            </w:tcMar>
            <w:vAlign w:val="center"/>
          </w:tcPr>
          <w:p>
            <w:pPr>
              <w:spacing w:after="0" w:line="240"/>
            </w:pPr>
            <w:r>
              <w:rPr>
                <w:sz w:val="18"/>
                <w:szCs w:val="18"/>
              </w:rPr>
              <w:t xml:space="preserve">Majoration indue du score lorsque plusieurs sources rapportent le même fait ; neutralisé par plafonnement à la source la plus proche du fait (§6.20).</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Cliquet (ratchet)</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Remontée par paliers du stop à chaque objectif atteint, verrouillant définitivement le gain acquis.</w:t>
            </w:r>
          </w:p>
        </w:tc>
      </w:tr>
      <w:tr>
        <w:tc>
          <w:tcPr>
            <w:tcW w:type="dxa" w:w="3000"/>
            <w:tcMar>
              <w:top w:type="dxa" w:w="50"/>
              <w:left w:type="dxa" w:w="90"/>
              <w:bottom w:type="dxa" w:w="50"/>
              <w:right w:type="dxa" w:w="90"/>
            </w:tcMar>
            <w:vAlign w:val="center"/>
          </w:tcPr>
          <w:p>
            <w:pPr>
              <w:spacing w:after="0" w:line="240"/>
            </w:pPr>
            <w:r>
              <w:rPr>
                <w:sz w:val="18"/>
                <w:szCs w:val="18"/>
              </w:rPr>
              <w:t xml:space="preserve">Mèche-out</w:t>
            </w:r>
          </w:p>
        </w:tc>
        <w:tc>
          <w:tcPr>
            <w:tcW w:type="dxa" w:w="6638"/>
            <w:tcMar>
              <w:top w:type="dxa" w:w="50"/>
              <w:left w:type="dxa" w:w="90"/>
              <w:bottom w:type="dxa" w:w="50"/>
              <w:right w:type="dxa" w:w="90"/>
            </w:tcMar>
            <w:vAlign w:val="center"/>
          </w:tcPr>
          <w:p>
            <w:pPr>
              <w:spacing w:after="0" w:line="240"/>
            </w:pPr>
            <w:r>
              <w:rPr>
                <w:sz w:val="18"/>
                <w:szCs w:val="18"/>
              </w:rPr>
              <w:t xml:space="preserve">Exécution d’un stop sur un extrême intraday immédiatement effacé, sans que la clôture confirme la rupture.</w:t>
            </w:r>
          </w:p>
        </w:tc>
      </w:tr>
      <w:tr>
        <w:tc>
          <w:tcPr>
            <w:tcW w:type="dxa" w:w="3000"/>
            <w:shd w:fill="F7F9FC" w:val="clear"/>
            <w:tcMar>
              <w:top w:type="dxa" w:w="50"/>
              <w:left w:type="dxa" w:w="90"/>
              <w:bottom w:type="dxa" w:w="50"/>
              <w:right w:type="dxa" w:w="90"/>
            </w:tcMar>
            <w:vAlign w:val="center"/>
          </w:tcPr>
          <w:p>
            <w:pPr>
              <w:spacing w:after="0" w:line="240"/>
            </w:pPr>
            <w:r>
              <w:rPr>
                <w:sz w:val="18"/>
                <w:szCs w:val="18"/>
              </w:rPr>
              <w:t xml:space="preserve">Creux de consolidation</w:t>
            </w:r>
          </w:p>
        </w:tc>
        <w:tc>
          <w:tcPr>
            <w:tcW w:type="dxa" w:w="6638"/>
            <w:shd w:fill="F7F9FC" w:val="clear"/>
            <w:tcMar>
              <w:top w:type="dxa" w:w="50"/>
              <w:left w:type="dxa" w:w="90"/>
              <w:bottom w:type="dxa" w:w="50"/>
              <w:right w:type="dxa" w:w="90"/>
            </w:tcMar>
            <w:vAlign w:val="center"/>
          </w:tcPr>
          <w:p>
            <w:pPr>
              <w:spacing w:after="0" w:line="240"/>
            </w:pPr>
            <w:r>
              <w:rPr>
                <w:sz w:val="18"/>
                <w:szCs w:val="18"/>
              </w:rPr>
              <w:t xml:space="preserve">Dernier point bas significatif d’une phase de respiration, servant d’ancrage au stop suiveur.</w:t>
            </w:r>
          </w:p>
        </w:tc>
      </w:tr>
      <w:tr>
        <w:tc>
          <w:tcPr>
            <w:tcW w:type="dxa" w:w="3000"/>
            <w:tcMar>
              <w:top w:type="dxa" w:w="50"/>
              <w:left w:type="dxa" w:w="90"/>
              <w:bottom w:type="dxa" w:w="50"/>
              <w:right w:type="dxa" w:w="90"/>
            </w:tcMar>
            <w:vAlign w:val="center"/>
          </w:tcPr>
          <w:p>
            <w:pPr>
              <w:spacing w:after="0" w:line="240"/>
            </w:pPr>
            <w:r>
              <w:rPr>
                <w:sz w:val="18"/>
                <w:szCs w:val="18"/>
              </w:rPr>
              <w:t xml:space="preserve">W-8BEN</w:t>
            </w:r>
          </w:p>
        </w:tc>
        <w:tc>
          <w:tcPr>
            <w:tcW w:type="dxa" w:w="6638"/>
            <w:tcMar>
              <w:top w:type="dxa" w:w="50"/>
              <w:left w:type="dxa" w:w="90"/>
              <w:bottom w:type="dxa" w:w="50"/>
              <w:right w:type="dxa" w:w="90"/>
            </w:tcMar>
            <w:vAlign w:val="center"/>
          </w:tcPr>
          <w:p>
            <w:pPr>
              <w:spacing w:after="0" w:line="240"/>
            </w:pPr>
            <w:r>
              <w:rPr>
                <w:sz w:val="18"/>
                <w:szCs w:val="18"/>
              </w:rPr>
              <w:t xml:space="preserve">Formulaire américain ramenant la retenue à la source sur dividendes de 30 % à 15 % pour un résident fiscal français.</w:t>
            </w:r>
          </w:p>
        </w:tc>
      </w:tr>
    </w:tbl>
    <w:p>
      <w:pPr>
        <w:pStyle w:val="Heading1"/>
        <w:spacing w:after="140" w:before="300"/>
      </w:pPr>
      <w:r>
        <w:t xml:space="preserve">Annexe D — Mapping des fichiers réels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tblHeader/>
        </w:trPr>
        <w:tc>
          <w:tcPr>
            <w:tcW w:type="dxa" w:w="2600"/>
            <w:shd w:fill="1F3864" w:val="clear"/>
            <w:tcMar>
              <w:top w:type="dxa" w:w="50"/>
              <w:left w:type="dxa" w:w="90"/>
              <w:bottom w:type="dxa" w:w="50"/>
              <w:right w:type="dxa" w:w="90"/>
            </w:tcMar>
            <w:vAlign w:val="center"/>
          </w:tcPr>
          <w:p>
            <w:pPr>
              <w:spacing w:after="0" w:line="240"/>
            </w:pPr>
            <w:r>
              <w:rPr>
                <w:b/>
                <w:bCs/>
                <w:color w:val="FFFFFF"/>
                <w:sz w:val="18"/>
                <w:szCs w:val="18"/>
              </w:rPr>
              <w:t xml:space="preserve">Fichier</w:t>
            </w:r>
          </w:p>
        </w:tc>
        <w:tc>
          <w:tcPr>
            <w:tcW w:type="dxa" w:w="7038"/>
            <w:shd w:fill="1F3864" w:val="clear"/>
            <w:tcMar>
              <w:top w:type="dxa" w:w="50"/>
              <w:left w:type="dxa" w:w="90"/>
              <w:bottom w:type="dxa" w:w="50"/>
              <w:right w:type="dxa" w:w="90"/>
            </w:tcMar>
            <w:vAlign w:val="center"/>
          </w:tcPr>
          <w:p>
            <w:pPr>
              <w:spacing w:after="0" w:line="240"/>
            </w:pPr>
            <w:r>
              <w:rPr>
                <w:b/>
                <w:bCs/>
                <w:color w:val="FFFFFF"/>
                <w:sz w:val="18"/>
                <w:szCs w:val="18"/>
              </w:rPr>
              <w:t xml:space="preserve">Champs clés confirmés</w:t>
            </w:r>
          </w:p>
        </w:tc>
      </w:tr>
      <w:tr>
        <w:tc>
          <w:tcPr>
            <w:tcW w:type="dxa" w:w="2600"/>
            <w:tcMar>
              <w:top w:type="dxa" w:w="50"/>
              <w:left w:type="dxa" w:w="90"/>
              <w:bottom w:type="dxa" w:w="50"/>
              <w:right w:type="dxa" w:w="90"/>
            </w:tcMar>
            <w:vAlign w:val="center"/>
          </w:tcPr>
          <w:p>
            <w:pPr>
              <w:spacing w:after="0" w:line="240"/>
            </w:pPr>
            <w:r>
              <w:rPr>
                <w:sz w:val="18"/>
                <w:szCs w:val="18"/>
              </w:rPr>
              <w:t xml:space="preserve">Positions Saxo XLSX</w:t>
            </w:r>
          </w:p>
        </w:tc>
        <w:tc>
          <w:tcPr>
            <w:tcW w:type="dxa" w:w="7038"/>
            <w:tcMar>
              <w:top w:type="dxa" w:w="50"/>
              <w:left w:type="dxa" w:w="90"/>
              <w:bottom w:type="dxa" w:w="50"/>
              <w:right w:type="dxa" w:w="90"/>
            </w:tcMar>
            <w:vAlign w:val="center"/>
          </w:tcPr>
          <w:p>
            <w:pPr>
              <w:spacing w:after="0" w:line="240"/>
            </w:pPr>
            <w:r>
              <w:rPr>
                <w:sz w:val="18"/>
                <w:szCs w:val="18"/>
              </w:rPr>
              <w:t xml:space="preserve">Instruments, Sens, Devise, Quantité, Prix entrée, Prix actuel, +/- nette, Valeur actuelle, Exposition, Date de liquidation, Symbole, Compte, ISIN, Type d’actif.</w:t>
            </w:r>
          </w:p>
        </w:tc>
      </w:tr>
      <w:tr>
        <w:tc>
          <w:tcPr>
            <w:tcW w:type="dxa" w:w="2600"/>
            <w:shd w:fill="F7F9FC" w:val="clear"/>
            <w:tcMar>
              <w:top w:type="dxa" w:w="50"/>
              <w:left w:type="dxa" w:w="90"/>
              <w:bottom w:type="dxa" w:w="50"/>
              <w:right w:type="dxa" w:w="90"/>
            </w:tcMar>
            <w:vAlign w:val="center"/>
          </w:tcPr>
          <w:p>
            <w:pPr>
              <w:spacing w:after="0" w:line="240"/>
            </w:pPr>
            <w:r>
              <w:rPr>
                <w:sz w:val="18"/>
                <w:szCs w:val="18"/>
              </w:rPr>
              <w:t xml:space="preserve">Transactions Saxo XLSX</w:t>
            </w:r>
          </w:p>
        </w:tc>
        <w:tc>
          <w:tcPr>
            <w:tcW w:type="dxa" w:w="7038"/>
            <w:shd w:fill="F7F9FC" w:val="clear"/>
            <w:tcMar>
              <w:top w:type="dxa" w:w="50"/>
              <w:left w:type="dxa" w:w="90"/>
              <w:bottom w:type="dxa" w:w="50"/>
              <w:right w:type="dxa" w:w="90"/>
            </w:tcMar>
            <w:vAlign w:val="center"/>
          </w:tcPr>
          <w:p>
            <w:pPr>
              <w:spacing w:after="0" w:line="240"/>
            </w:pPr>
            <w:r>
              <w:rPr>
                <w:sz w:val="18"/>
                <w:szCs w:val="18"/>
              </w:rPr>
              <w:t xml:space="preserve">Date d’opération, Date de valeur, Type, Événement, Montant, Devise, Taux de change, Coûts, B/P réalisés, Instrument, Symbole, ISIN, Place.</w:t>
            </w:r>
          </w:p>
        </w:tc>
      </w:tr>
      <w:tr>
        <w:tc>
          <w:tcPr>
            <w:tcW w:type="dxa" w:w="2600"/>
            <w:tcMar>
              <w:top w:type="dxa" w:w="50"/>
              <w:left w:type="dxa" w:w="90"/>
              <w:bottom w:type="dxa" w:w="50"/>
              <w:right w:type="dxa" w:w="90"/>
            </w:tcMar>
            <w:vAlign w:val="center"/>
          </w:tcPr>
          <w:p>
            <w:pPr>
              <w:spacing w:after="0" w:line="240"/>
            </w:pPr>
            <w:r>
              <w:rPr>
                <w:sz w:val="18"/>
                <w:szCs w:val="18"/>
              </w:rPr>
              <w:t xml:space="preserve">Opérations Saxo XLSX</w:t>
            </w:r>
          </w:p>
        </w:tc>
        <w:tc>
          <w:tcPr>
            <w:tcW w:type="dxa" w:w="7038"/>
            <w:tcMar>
              <w:top w:type="dxa" w:w="50"/>
              <w:left w:type="dxa" w:w="90"/>
              <w:bottom w:type="dxa" w:w="50"/>
              <w:right w:type="dxa" w:w="90"/>
            </w:tcMar>
            <w:vAlign w:val="center"/>
          </w:tcPr>
          <w:p>
            <w:pPr>
              <w:spacing w:after="0" w:line="240"/>
            </w:pPr>
            <w:r>
              <w:rPr>
                <w:sz w:val="18"/>
                <w:szCs w:val="18"/>
              </w:rPr>
              <w:t xml:space="preserve">Ordre ID, date d’exécution, type d’ordre, ouverture/clôture, quantité, cours, valeur négociée.</w:t>
            </w:r>
          </w:p>
        </w:tc>
      </w:tr>
      <w:tr>
        <w:tc>
          <w:tcPr>
            <w:tcW w:type="dxa" w:w="2600"/>
            <w:shd w:fill="F7F9FC" w:val="clear"/>
            <w:tcMar>
              <w:top w:type="dxa" w:w="50"/>
              <w:left w:type="dxa" w:w="90"/>
              <w:bottom w:type="dxa" w:w="50"/>
              <w:right w:type="dxa" w:w="90"/>
            </w:tcMar>
            <w:vAlign w:val="center"/>
          </w:tcPr>
          <w:p>
            <w:pPr>
              <w:spacing w:after="0" w:line="240"/>
            </w:pPr>
            <w:r>
              <w:rPr>
                <w:sz w:val="18"/>
                <w:szCs w:val="18"/>
              </w:rPr>
              <w:t xml:space="preserve">Positions Boursobank CSV</w:t>
            </w:r>
          </w:p>
        </w:tc>
        <w:tc>
          <w:tcPr>
            <w:tcW w:type="dxa" w:w="7038"/>
            <w:shd w:fill="F7F9FC" w:val="clear"/>
            <w:tcMar>
              <w:top w:type="dxa" w:w="50"/>
              <w:left w:type="dxa" w:w="90"/>
              <w:bottom w:type="dxa" w:w="50"/>
              <w:right w:type="dxa" w:w="90"/>
            </w:tcMar>
            <w:vAlign w:val="center"/>
          </w:tcPr>
          <w:p>
            <w:pPr>
              <w:spacing w:after="0" w:line="240"/>
            </w:pPr>
            <w:r>
              <w:rPr>
                <w:sz w:val="18"/>
                <w:szCs w:val="18"/>
              </w:rPr>
              <w:t xml:space="preserve">name, isin, quantity, buyingPrice, lastPrice, intradayVariation, amount, amountVariation, variation.</w:t>
            </w:r>
          </w:p>
        </w:tc>
      </w:tr>
      <w:tr>
        <w:tc>
          <w:tcPr>
            <w:tcW w:type="dxa" w:w="2600"/>
            <w:tcMar>
              <w:top w:type="dxa" w:w="50"/>
              <w:left w:type="dxa" w:w="90"/>
              <w:bottom w:type="dxa" w:w="50"/>
              <w:right w:type="dxa" w:w="90"/>
            </w:tcMar>
            <w:vAlign w:val="center"/>
          </w:tcPr>
          <w:p>
            <w:pPr>
              <w:spacing w:after="0" w:line="240"/>
            </w:pPr>
            <w:r>
              <w:rPr>
                <w:sz w:val="18"/>
                <w:szCs w:val="18"/>
              </w:rPr>
              <w:t xml:space="preserve">Newsletters US (.eml / .html)</w:t>
            </w:r>
          </w:p>
        </w:tc>
        <w:tc>
          <w:tcPr>
            <w:tcW w:type="dxa" w:w="7038"/>
            <w:tcMar>
              <w:top w:type="dxa" w:w="50"/>
              <w:left w:type="dxa" w:w="90"/>
              <w:bottom w:type="dxa" w:w="50"/>
              <w:right w:type="dxa" w:w="90"/>
            </w:tcMar>
            <w:vAlign w:val="center"/>
          </w:tcPr>
          <w:p>
            <w:pPr>
              <w:spacing w:after="0" w:line="240"/>
            </w:pPr>
            <w:r>
              <w:rPr>
                <w:sz w:val="18"/>
                <w:szCs w:val="18"/>
              </w:rPr>
              <w:t xml:space="preserve">Un bloc par valeur citée : date d’envoi, émetteur de la source, ticker, notations propriétaires, objectif de cours, révision d’analyste, état de marché. Extraction par parseur dédié à chaque source, jamais par un parseur générique.</w:t>
            </w:r>
          </w:p>
        </w:tc>
      </w:tr>
      <w:tr>
        <w:tc>
          <w:tcPr>
            <w:tcW w:type="dxa" w:w="2600"/>
            <w:shd w:fill="F7F9FC" w:val="clear"/>
            <w:tcMar>
              <w:top w:type="dxa" w:w="50"/>
              <w:left w:type="dxa" w:w="90"/>
              <w:bottom w:type="dxa" w:w="50"/>
              <w:right w:type="dxa" w:w="90"/>
            </w:tcMar>
            <w:vAlign w:val="center"/>
          </w:tcPr>
          <w:p>
            <w:pPr>
              <w:spacing w:after="0" w:line="240"/>
            </w:pPr>
            <w:r>
              <w:rPr>
                <w:sz w:val="18"/>
                <w:szCs w:val="18"/>
              </w:rPr>
              <w:t xml:space="preserve">Cotations CSV (Euronext historique)</w:t>
            </w:r>
          </w:p>
        </w:tc>
        <w:tc>
          <w:tcPr>
            <w:tcW w:type="dxa" w:w="7038"/>
            <w:shd w:fill="F7F9FC" w:val="clear"/>
            <w:tcMar>
              <w:top w:type="dxa" w:w="50"/>
              <w:left w:type="dxa" w:w="90"/>
              <w:bottom w:type="dxa" w:w="50"/>
              <w:right w:type="dxa" w:w="90"/>
            </w:tcMar>
            <w:vAlign w:val="center"/>
          </w:tcPr>
          <w:p>
            <w:pPr>
              <w:spacing w:after="0" w:line="240"/>
            </w:pPr>
            <w:r>
              <w:rPr>
                <w:sz w:val="18"/>
                <w:szCs w:val="18"/>
              </w:rPr>
              <w:t xml:space="preserve">ISIN ; date ; open ; high ; low ; close ; volume (sans ligne d’en-tête). Place et devise déduites du référentiel.</w:t>
            </w:r>
          </w:p>
        </w:tc>
      </w:tr>
      <w:tr>
        <w:tc>
          <w:tcPr>
            <w:tcW w:type="dxa" w:w="2600"/>
            <w:tcMar>
              <w:top w:type="dxa" w:w="50"/>
              <w:left w:type="dxa" w:w="90"/>
              <w:bottom w:type="dxa" w:w="50"/>
              <w:right w:type="dxa" w:w="90"/>
            </w:tcMar>
            <w:vAlign w:val="center"/>
          </w:tcPr>
          <w:p>
            <w:pPr>
              <w:spacing w:after="0" w:line="240"/>
            </w:pPr>
            <w:r>
              <w:rPr>
                <w:sz w:val="18"/>
                <w:szCs w:val="18"/>
              </w:rPr>
              <w:t xml:space="preserve">Cotations CSV multi-places</w:t>
            </w:r>
          </w:p>
        </w:tc>
        <w:tc>
          <w:tcPr>
            <w:tcW w:type="dxa" w:w="7038"/>
            <w:tcMar>
              <w:top w:type="dxa" w:w="50"/>
              <w:left w:type="dxa" w:w="90"/>
              <w:bottom w:type="dxa" w:w="50"/>
              <w:right w:type="dxa" w:w="90"/>
            </w:tcMar>
            <w:vAlign w:val="center"/>
          </w:tcPr>
          <w:p>
            <w:pPr>
              <w:spacing w:after="0" w:line="240"/>
            </w:pPr>
            <w:r>
              <w:rPr>
                <w:sz w:val="18"/>
                <w:szCs w:val="18"/>
              </w:rPr>
              <w:t xml:space="preserve">MIC ; ISIN ; date ; devise ; open ; high ; low ; close ; volume. En-tête obligatoire, contrairement au format Euronext historique.</w:t>
            </w:r>
          </w:p>
        </w:tc>
      </w:tr>
      <w:tr>
        <w:tc>
          <w:tcPr>
            <w:tcW w:type="dxa" w:w="2600"/>
            <w:shd w:fill="F7F9FC" w:val="clear"/>
            <w:tcMar>
              <w:top w:type="dxa" w:w="50"/>
              <w:left w:type="dxa" w:w="90"/>
              <w:bottom w:type="dxa" w:w="50"/>
              <w:right w:type="dxa" w:w="90"/>
            </w:tcMar>
            <w:vAlign w:val="center"/>
          </w:tcPr>
          <w:p>
            <w:pPr>
              <w:spacing w:after="0" w:line="240"/>
            </w:pPr>
            <w:r>
              <w:rPr>
                <w:sz w:val="18"/>
                <w:szCs w:val="18"/>
              </w:rPr>
              <w:t xml:space="preserve">Positions Saxo XLSX — lignes étrangères</w:t>
            </w:r>
          </w:p>
        </w:tc>
        <w:tc>
          <w:tcPr>
            <w:tcW w:type="dxa" w:w="7038"/>
            <w:shd w:fill="F7F9FC" w:val="clear"/>
            <w:tcMar>
              <w:top w:type="dxa" w:w="50"/>
              <w:left w:type="dxa" w:w="90"/>
              <w:bottom w:type="dxa" w:w="50"/>
              <w:right w:type="dxa" w:w="90"/>
            </w:tcMar>
            <w:vAlign w:val="center"/>
          </w:tcPr>
          <w:p>
            <w:pPr>
              <w:spacing w:after="0" w:line="240"/>
            </w:pPr>
            <w:r>
              <w:rPr>
                <w:sz w:val="18"/>
                <w:szCs w:val="18"/>
              </w:rPr>
              <w:t xml:space="preserve">Devise USD/GBP/CHF, type d’actif « Stock », place NASDAQ/NYSE/XETR/SWX, aucune date de liquidation (absence de SRD hors Paris).</w:t>
            </w:r>
          </w:p>
        </w:tc>
      </w:tr>
    </w:tbl>
    <w:p>
      <w:pPr>
        <w:spacing w:after="100" w:before="0" w:line="264"/>
      </w:pPr>
      <w:r>
        <w:t xml:space="preserve">Ce mapping est le contrat des parseurs. Toute colonne inconnue est signalée (jamais ignorée silencieusement) ; toute colonne attendue manquante rend l’import invalide avec un message explicite.</w:t>
      </w:r>
    </w:p>
    <w:p>
      <w:r>
        <w:br w:type="page"/>
      </w:r>
    </w:p>
    <w:p>
      <w:pPr>
        <w:pStyle w:val="Heading1"/>
        <w:spacing w:after="140" w:before="300"/>
      </w:pPr>
      <w:r>
        <w:t xml:space="preserve">Annexe E — Modèle de fichier CLAUDE.md</w:t>
      </w:r>
    </w:p>
    <w:p>
      <w:pPr>
        <w:spacing w:after="100" w:before="0" w:line="264"/>
      </w:pPr>
      <w:r>
        <w:t xml:space="preserve">Contenu initial du fichier CLAUDE.md créé au lot L00 (à maintenir à jour) :</w:t>
      </w:r>
    </w:p>
    <w:p>
      <w:pPr>
        <w:keepLines/>
        <w:shd w:fill="F5F5F5" w:val="clear"/>
        <w:spacing w:after="0" w:line="240"/>
        <w:ind w:left="160" w:right="160"/>
      </w:pPr>
      <w:r>
        <w:rPr>
          <w:rFonts w:ascii="Consolas" w:cs="Consolas" w:eastAsia="Consolas" w:hAnsi="Consolas"/>
          <w:sz w:val="17"/>
          <w:szCs w:val="17"/>
        </w:rPr>
        <w:t xml:space="preserve"># CLAUDE.md — Agent Investissement France</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Contexte</w:t>
      </w:r>
    </w:p>
    <w:p>
      <w:pPr>
        <w:keepLines/>
        <w:shd w:fill="F5F5F5" w:val="clear"/>
        <w:spacing w:after="0" w:line="240"/>
        <w:ind w:left="160" w:right="160"/>
      </w:pPr>
      <w:r>
        <w:rPr>
          <w:rFonts w:ascii="Consolas" w:cs="Consolas" w:eastAsia="Consolas" w:hAnsi="Consolas"/>
          <w:sz w:val="17"/>
          <w:szCs w:val="17"/>
        </w:rPr>
        <w:t xml:space="preserve">Application locale d’aide à la décision boursière (FastAPI + React + PostgreSQL).</w:t>
      </w:r>
    </w:p>
    <w:p>
      <w:pPr>
        <w:keepLines/>
        <w:shd w:fill="F5F5F5" w:val="clear"/>
        <w:spacing w:after="0" w:line="240"/>
        <w:ind w:left="160" w:right="160"/>
      </w:pPr>
      <w:r>
        <w:rPr>
          <w:rFonts w:ascii="Consolas" w:cs="Consolas" w:eastAsia="Consolas" w:hAnsi="Consolas"/>
          <w:sz w:val="17"/>
          <w:szCs w:val="17"/>
        </w:rPr>
        <w:t xml:space="preserve">AUCUNE transmission d’ordre à un courtier, jamais, sous aucune forme.</w:t>
      </w:r>
    </w:p>
    <w:p>
      <w:pPr>
        <w:keepLines/>
        <w:shd w:fill="F5F5F5" w:val="clear"/>
        <w:spacing w:after="0" w:line="240"/>
        <w:ind w:left="160" w:right="160"/>
      </w:pPr>
      <w:r>
        <w:rPr>
          <w:rFonts w:ascii="Consolas" w:cs="Consolas" w:eastAsia="Consolas" w:hAnsi="Consolas"/>
          <w:sz w:val="17"/>
          <w:szCs w:val="17"/>
        </w:rPr>
        <w:t xml:space="preserve">La spécification normative est dans docs/specs/. Les lots sont dans docs/lots/.</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Commandes</w:t>
      </w:r>
    </w:p>
    <w:p>
      <w:pPr>
        <w:keepLines/>
        <w:shd w:fill="F5F5F5" w:val="clear"/>
        <w:spacing w:after="0" w:line="240"/>
        <w:ind w:left="160" w:right="160"/>
      </w:pPr>
      <w:r>
        <w:rPr>
          <w:rFonts w:ascii="Consolas" w:cs="Consolas" w:eastAsia="Consolas" w:hAnsi="Consolas"/>
          <w:sz w:val="17"/>
          <w:szCs w:val="17"/>
        </w:rPr>
        <w:t xml:space="preserve">- make dev        # docker compose up (Postgres + backend + frontend)</w:t>
      </w:r>
    </w:p>
    <w:p>
      <w:pPr>
        <w:keepLines/>
        <w:shd w:fill="F5F5F5" w:val="clear"/>
        <w:spacing w:after="0" w:line="240"/>
        <w:ind w:left="160" w:right="160"/>
      </w:pPr>
      <w:r>
        <w:rPr>
          <w:rFonts w:ascii="Consolas" w:cs="Consolas" w:eastAsia="Consolas" w:hAnsi="Consolas"/>
          <w:sz w:val="17"/>
          <w:szCs w:val="17"/>
        </w:rPr>
        <w:t xml:space="preserve">- make test       # pytest (backend) + vitest (frontend)</w:t>
      </w:r>
    </w:p>
    <w:p>
      <w:pPr>
        <w:keepLines/>
        <w:shd w:fill="F5F5F5" w:val="clear"/>
        <w:spacing w:after="0" w:line="240"/>
        <w:ind w:left="160" w:right="160"/>
      </w:pPr>
      <w:r>
        <w:rPr>
          <w:rFonts w:ascii="Consolas" w:cs="Consolas" w:eastAsia="Consolas" w:hAnsi="Consolas"/>
          <w:sz w:val="17"/>
          <w:szCs w:val="17"/>
        </w:rPr>
        <w:t xml:space="preserve">- make lint       # ruff + mypy --strict (app/) + eslint</w:t>
      </w:r>
    </w:p>
    <w:p>
      <w:pPr>
        <w:keepLines/>
        <w:shd w:fill="F5F5F5" w:val="clear"/>
        <w:spacing w:after="0" w:line="240"/>
        <w:ind w:left="160" w:right="160"/>
      </w:pPr>
      <w:r>
        <w:rPr>
          <w:rFonts w:ascii="Consolas" w:cs="Consolas" w:eastAsia="Consolas" w:hAnsi="Consolas"/>
          <w:sz w:val="17"/>
          <w:szCs w:val="17"/>
        </w:rPr>
        <w:t xml:space="preserve">- make migrate    # alembic upgrade head</w:t>
      </w:r>
    </w:p>
    <w:p>
      <w:pPr>
        <w:keepLines/>
        <w:shd w:fill="F5F5F5" w:val="clear"/>
        <w:spacing w:after="0" w:line="240"/>
        <w:ind w:left="160" w:right="160"/>
      </w:pPr>
      <w:r>
        <w:rPr>
          <w:rFonts w:ascii="Consolas" w:cs="Consolas" w:eastAsia="Consolas" w:hAnsi="Consolas"/>
          <w:sz w:val="17"/>
          <w:szCs w:val="17"/>
        </w:rPr>
        <w:t xml:space="preserve">- make backup     # sauvegarde locale chiffrée</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Règles absolues</w:t>
      </w:r>
    </w:p>
    <w:p>
      <w:pPr>
        <w:keepLines/>
        <w:shd w:fill="F5F5F5" w:val="clear"/>
        <w:spacing w:after="0" w:line="240"/>
        <w:ind w:left="160" w:right="160"/>
      </w:pPr>
      <w:r>
        <w:rPr>
          <w:rFonts w:ascii="Consolas" w:cs="Consolas" w:eastAsia="Consolas" w:hAnsi="Consolas"/>
          <w:sz w:val="17"/>
          <w:szCs w:val="17"/>
        </w:rPr>
        <w:t xml:space="preserve">1. Ne jamais implémenter d’envoi d’ordre à un courtier (API, navigateur, e-mail, webhook).</w:t>
      </w:r>
    </w:p>
    <w:p>
      <w:pPr>
        <w:keepLines/>
        <w:shd w:fill="F5F5F5" w:val="clear"/>
        <w:spacing w:after="0" w:line="240"/>
        <w:ind w:left="160" w:right="160"/>
      </w:pPr>
      <w:r>
        <w:rPr>
          <w:rFonts w:ascii="Consolas" w:cs="Consolas" w:eastAsia="Consolas" w:hAnsi="Consolas"/>
          <w:sz w:val="17"/>
          <w:szCs w:val="17"/>
        </w:rPr>
        <w:t xml:space="preserve">2. Aucun LLM dans un calcul financier : P/L, risque, taille, KPI = code déterministe testé.</w:t>
      </w:r>
    </w:p>
    <w:p>
      <w:pPr>
        <w:keepLines/>
        <w:shd w:fill="F5F5F5" w:val="clear"/>
        <w:spacing w:after="0" w:line="240"/>
        <w:ind w:left="160" w:right="160"/>
      </w:pPr>
      <w:r>
        <w:rPr>
          <w:rFonts w:ascii="Consolas" w:cs="Consolas" w:eastAsia="Consolas" w:hAnsi="Consolas"/>
          <w:sz w:val="17"/>
          <w:szCs w:val="17"/>
        </w:rPr>
        <w:t xml:space="preserve">3. Jamais de float pour l’argent : Decimal (Python) / NUMERIC(20,6) (PostgreSQL).</w:t>
      </w:r>
    </w:p>
    <w:p>
      <w:pPr>
        <w:keepLines/>
        <w:shd w:fill="F5F5F5" w:val="clear"/>
        <w:spacing w:after="0" w:line="240"/>
        <w:ind w:left="160" w:right="160"/>
      </w:pPr>
      <w:r>
        <w:rPr>
          <w:rFonts w:ascii="Consolas" w:cs="Consolas" w:eastAsia="Consolas" w:hAnsi="Consolas"/>
          <w:sz w:val="17"/>
          <w:szCs w:val="17"/>
        </w:rPr>
        <w:t xml:space="preserve">4. Toute règle métier vient de docs/specs/. Ambiguïté ou conflit → STOP et question ;</w:t>
      </w:r>
    </w:p>
    <w:p>
      <w:pPr>
        <w:keepLines/>
        <w:shd w:fill="F5F5F5" w:val="clear"/>
        <w:spacing w:after="0" w:line="240"/>
        <w:ind w:left="160" w:right="160"/>
      </w:pPr>
      <w:r>
        <w:rPr>
          <w:rFonts w:ascii="Consolas" w:cs="Consolas" w:eastAsia="Consolas" w:hAnsi="Consolas"/>
          <w:sz w:val="17"/>
          <w:szCs w:val="17"/>
        </w:rPr>
        <w:t xml:space="preserve">   ne jamais inventer. Les défauts applicables sont dans docs/specs/90-decisions.md.</w:t>
      </w:r>
    </w:p>
    <w:p>
      <w:pPr>
        <w:keepLines/>
        <w:shd w:fill="F5F5F5" w:val="clear"/>
        <w:spacing w:after="0" w:line="240"/>
        <w:ind w:left="160" w:right="160"/>
      </w:pPr>
      <w:r>
        <w:rPr>
          <w:rFonts w:ascii="Consolas" w:cs="Consolas" w:eastAsia="Consolas" w:hAnsi="Consolas"/>
          <w:sz w:val="17"/>
          <w:szCs w:val="17"/>
        </w:rPr>
        <w:t xml:space="preserve">5. Migrations Alembic réversibles uniquement ; jamais de migration destructive</w:t>
      </w:r>
    </w:p>
    <w:p>
      <w:pPr>
        <w:keepLines/>
        <w:shd w:fill="F5F5F5" w:val="clear"/>
        <w:spacing w:after="0" w:line="240"/>
        <w:ind w:left="160" w:right="160"/>
      </w:pPr>
      <w:r>
        <w:rPr>
          <w:rFonts w:ascii="Consolas" w:cs="Consolas" w:eastAsia="Consolas" w:hAnsi="Consolas"/>
          <w:sz w:val="17"/>
          <w:szCs w:val="17"/>
        </w:rPr>
        <w:t xml:space="preserve">   ni de modification d’une formule validée sans décision D-xxx consignée.</w:t>
      </w:r>
    </w:p>
    <w:p>
      <w:pPr>
        <w:keepLines/>
        <w:shd w:fill="F5F5F5" w:val="clear"/>
        <w:spacing w:after="0" w:line="240"/>
        <w:ind w:left="160" w:right="160"/>
      </w:pPr>
      <w:r>
        <w:rPr>
          <w:rFonts w:ascii="Consolas" w:cs="Consolas" w:eastAsia="Consolas" w:hAnsi="Consolas"/>
          <w:sz w:val="17"/>
          <w:szCs w:val="17"/>
        </w:rPr>
        <w:t xml:space="preserve">6. Horodatages stockés en UTC ; affichage Europe/Paris.</w:t>
      </w:r>
    </w:p>
    <w:p>
      <w:pPr>
        <w:keepLines/>
        <w:shd w:fill="F5F5F5" w:val="clear"/>
        <w:spacing w:after="0" w:line="240"/>
        <w:ind w:left="160" w:right="160"/>
      </w:pPr>
      <w:r>
        <w:rPr>
          <w:rFonts w:ascii="Consolas" w:cs="Consolas" w:eastAsia="Consolas" w:hAnsi="Consolas"/>
          <w:sz w:val="17"/>
          <w:szCs w:val="17"/>
        </w:rPr>
        <w:t xml:space="preserve">7. Un lot par session. Ne pas entamer le lot suivant sans validation.</w:t>
      </w:r>
    </w:p>
    <w:p>
      <w:pPr>
        <w:keepLines/>
        <w:shd w:fill="F5F5F5" w:val="clear"/>
        <w:spacing w:after="0" w:line="240"/>
        <w:ind w:left="160" w:right="160"/>
      </w:pPr>
      <w:r>
        <w:rPr>
          <w:rFonts w:ascii="Consolas" w:cs="Consolas" w:eastAsia="Consolas" w:hAnsi="Consolas"/>
          <w:sz w:val="17"/>
          <w:szCs w:val="17"/>
        </w:rPr>
        <w:t xml:space="preserve">8. Référencer Lot / FR-xxx / REC-xx dans commits, docstrings et tests.</w:t>
      </w:r>
    </w:p>
    <w:p>
      <w:pPr>
        <w:keepLines/>
        <w:shd w:fill="F5F5F5" w:val="clear"/>
        <w:spacing w:after="0" w:line="240"/>
        <w:ind w:left="160" w:right="160"/>
      </w:pPr>
      <w:r>
        <w:rPr>
          <w:rFonts w:ascii="Consolas" w:cs="Consolas" w:eastAsia="Consolas" w:hAnsi="Consolas"/>
          <w:sz w:val="17"/>
          <w:szCs w:val="17"/>
        </w:rPr>
        <w:t xml:space="preserve">9. Aucune donnée personnelle réelle dans le dépôt : fixtures anonymisées, data/ hors git.</w:t>
      </w:r>
    </w:p>
    <w:p>
      <w:pPr>
        <w:keepLines/>
        <w:shd w:fill="F5F5F5" w:val="clear"/>
        <w:spacing w:after="0" w:line="240"/>
        <w:ind w:left="160" w:right="160"/>
      </w:pPr>
      <w:r>
        <w:rPr>
          <w:rFonts w:ascii="Consolas" w:cs="Consolas" w:eastAsia="Consolas" w:hAnsi="Consolas"/>
          <w:sz w:val="17"/>
          <w:szCs w:val="17"/>
        </w:rPr>
        <w:t xml:space="preserve">10. Multi-marchés : tout cours porte une place (MIC) et une devise. Jamais d’addition</w:t>
      </w:r>
    </w:p>
    <w:p>
      <w:pPr>
        <w:keepLines/>
        <w:shd w:fill="F5F5F5" w:val="clear"/>
        <w:spacing w:after="0" w:line="240"/>
        <w:ind w:left="160" w:right="160"/>
      </w:pPr>
      <w:r>
        <w:rPr>
          <w:rFonts w:ascii="Consolas" w:cs="Consolas" w:eastAsia="Consolas" w:hAnsi="Consolas"/>
          <w:sz w:val="17"/>
          <w:szCs w:val="17"/>
        </w:rPr>
        <w:t xml:space="preserve">    de montants de devises différentes sans conversion explicite et horodatée.</w:t>
      </w:r>
    </w:p>
    <w:p>
      <w:pPr>
        <w:keepLines/>
        <w:shd w:fill="F5F5F5" w:val="clear"/>
        <w:spacing w:after="0" w:line="240"/>
        <w:ind w:left="160" w:right="160"/>
      </w:pPr>
      <w:r>
        <w:rPr>
          <w:rFonts w:ascii="Consolas" w:cs="Consolas" w:eastAsia="Consolas" w:hAnsi="Consolas"/>
          <w:sz w:val="17"/>
          <w:szCs w:val="17"/>
        </w:rPr>
        <w:t xml:space="preserve">    Un instrument a une seule place de référence : pas de position dupliquée.</w:t>
      </w:r>
    </w:p>
    <w:p>
      <w:pPr>
        <w:keepLines/>
        <w:shd w:fill="F5F5F5" w:val="clear"/>
        <w:spacing w:after="0" w:line="240"/>
        <w:ind w:left="160" w:right="160"/>
      </w:pPr>
      <w:r>
        <w:rPr>
          <w:rFonts w:ascii="Consolas" w:cs="Consolas" w:eastAsia="Consolas" w:hAnsi="Consolas"/>
          <w:sz w:val="17"/>
          <w:szCs w:val="17"/>
        </w:rPr>
        <w:t xml:space="preserve">11. Toute règle horaire est stockée en heure locale de place + fuseau IANA, puis</w:t>
      </w:r>
    </w:p>
    <w:p>
      <w:pPr>
        <w:keepLines/>
        <w:shd w:fill="F5F5F5" w:val="clear"/>
        <w:spacing w:after="0" w:line="240"/>
        <w:ind w:left="160" w:right="160"/>
      </w:pPr>
      <w:r>
        <w:rPr>
          <w:rFonts w:ascii="Consolas" w:cs="Consolas" w:eastAsia="Consolas" w:hAnsi="Consolas"/>
          <w:sz w:val="17"/>
          <w:szCs w:val="17"/>
        </w:rPr>
        <w:t xml:space="preserve">    convertie à l’exécution. Le décalage Paris–New York n’est PAS constant :</w:t>
      </w:r>
    </w:p>
    <w:p>
      <w:pPr>
        <w:keepLines/>
        <w:shd w:fill="F5F5F5" w:val="clear"/>
        <w:spacing w:after="0" w:line="240"/>
        <w:ind w:left="160" w:right="160"/>
      </w:pPr>
      <w:r>
        <w:rPr>
          <w:rFonts w:ascii="Consolas" w:cs="Consolas" w:eastAsia="Consolas" w:hAnsi="Consolas"/>
          <w:sz w:val="17"/>
          <w:szCs w:val="17"/>
        </w:rPr>
        <w:t xml:space="preserve">    ne jamais coder « 15h30 » ou « 6 heures » en dur.</w:t>
      </w:r>
    </w:p>
    <w:p>
      <w:pPr>
        <w:keepLines/>
        <w:shd w:fill="F5F5F5" w:val="clear"/>
        <w:spacing w:after="0" w:line="240"/>
        <w:ind w:left="160" w:right="160"/>
      </w:pPr>
      <w:r>
        <w:rPr>
          <w:rFonts w:ascii="Consolas" w:cs="Consolas" w:eastAsia="Consolas" w:hAnsi="Consolas"/>
          <w:sz w:val="17"/>
          <w:szCs w:val="17"/>
        </w:rPr>
        <w:t xml:space="preserve">12. Le SRD et le levier sont limités à Euronext Paris. Aucune exception.</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Definition of Done (chaque lot)</w:t>
      </w:r>
    </w:p>
    <w:p>
      <w:pPr>
        <w:keepLines/>
        <w:shd w:fill="F5F5F5" w:val="clear"/>
        <w:spacing w:after="0" w:line="240"/>
        <w:ind w:left="160" w:right="160"/>
      </w:pPr>
      <w:r>
        <w:rPr>
          <w:rFonts w:ascii="Consolas" w:cs="Consolas" w:eastAsia="Consolas" w:hAnsi="Consolas"/>
          <w:sz w:val="17"/>
          <w:szCs w:val="17"/>
        </w:rPr>
        <w:t xml:space="preserve">- [ ] Tests du lot écrits AVANT le code, et passants (make test)</w:t>
      </w:r>
    </w:p>
    <w:p>
      <w:pPr>
        <w:keepLines/>
        <w:shd w:fill="F5F5F5" w:val="clear"/>
        <w:spacing w:after="0" w:line="240"/>
        <w:ind w:left="160" w:right="160"/>
      </w:pPr>
      <w:r>
        <w:rPr>
          <w:rFonts w:ascii="Consolas" w:cs="Consolas" w:eastAsia="Consolas" w:hAnsi="Consolas"/>
          <w:sz w:val="17"/>
          <w:szCs w:val="17"/>
        </w:rPr>
        <w:t xml:space="preserve">- [ ] make lint sans erreur</w:t>
      </w:r>
    </w:p>
    <w:p>
      <w:pPr>
        <w:keepLines/>
        <w:shd w:fill="F5F5F5" w:val="clear"/>
        <w:spacing w:after="0" w:line="240"/>
        <w:ind w:left="160" w:right="160"/>
      </w:pPr>
      <w:r>
        <w:rPr>
          <w:rFonts w:ascii="Consolas" w:cs="Consolas" w:eastAsia="Consolas" w:hAnsi="Consolas"/>
          <w:sz w:val="17"/>
          <w:szCs w:val="17"/>
        </w:rPr>
        <w:t xml:space="preserve">- [ ] Migration upgrade + downgrade testée (si schéma modifié)</w:t>
      </w:r>
    </w:p>
    <w:p>
      <w:pPr>
        <w:keepLines/>
        <w:shd w:fill="F5F5F5" w:val="clear"/>
        <w:spacing w:after="0" w:line="240"/>
        <w:ind w:left="160" w:right="160"/>
      </w:pPr>
      <w:r>
        <w:rPr>
          <w:rFonts w:ascii="Consolas" w:cs="Consolas" w:eastAsia="Consolas" w:hAnsi="Consolas"/>
          <w:sz w:val="17"/>
          <w:szCs w:val="17"/>
        </w:rPr>
        <w:t xml:space="preserve">- [ ] Critères REC du lot vérifiés (tests test_rec_XX)</w:t>
      </w:r>
    </w:p>
    <w:p>
      <w:pPr>
        <w:keepLines/>
        <w:shd w:fill="F5F5F5" w:val="clear"/>
        <w:spacing w:after="0" w:line="240"/>
        <w:ind w:left="160" w:right="160"/>
      </w:pPr>
      <w:r>
        <w:rPr>
          <w:rFonts w:ascii="Consolas" w:cs="Consolas" w:eastAsia="Consolas" w:hAnsi="Consolas"/>
          <w:sz w:val="17"/>
          <w:szCs w:val="17"/>
        </w:rPr>
        <w:t xml:space="preserve">- [ ] CHANGELOG.md mis à jour ; fiche docs/lots/LXX.md cochée</w:t>
      </w:r>
    </w:p>
    <w:p>
      <w:pPr>
        <w:keepLines/>
        <w:shd w:fill="F5F5F5" w:val="clear"/>
        <w:spacing w:after="120" w:line="240"/>
        <w:ind w:left="160" w:right="160"/>
      </w:pPr>
      <w:r>
        <w:rPr>
          <w:rFonts w:ascii="Consolas" w:cs="Consolas" w:eastAsia="Consolas" w:hAnsi="Consolas"/>
          <w:sz w:val="17"/>
          <w:szCs w:val="17"/>
        </w:rPr>
        <w:t xml:space="preserve">- [ ] Décisions prises consignées dans docs/specs/90-decisions.md</w:t>
      </w:r>
    </w:p>
    <w:p>
      <w:r>
        <w:br w:type="page"/>
      </w:r>
    </w:p>
    <w:p>
      <w:pPr>
        <w:pStyle w:val="Heading1"/>
        <w:spacing w:after="140" w:before="300"/>
      </w:pPr>
      <w:r>
        <w:t xml:space="preserve">Annexe F — Modèle de fiche de lot et prompt de session</w:t>
      </w:r>
    </w:p>
    <w:p>
      <w:pPr>
        <w:pStyle w:val="Heading2"/>
        <w:spacing w:after="120" w:before="240"/>
      </w:pPr>
      <w:r>
        <w:t xml:space="preserve">F.1 Modèle de fiche docs/lots/LXX.md</w:t>
      </w:r>
    </w:p>
    <w:p>
      <w:pPr>
        <w:keepLines/>
        <w:shd w:fill="F5F5F5" w:val="clear"/>
        <w:spacing w:after="0" w:line="240"/>
        <w:ind w:left="160" w:right="160"/>
      </w:pPr>
      <w:r>
        <w:rPr>
          <w:rFonts w:ascii="Consolas" w:cs="Consolas" w:eastAsia="Consolas" w:hAnsi="Consolas"/>
          <w:sz w:val="17"/>
          <w:szCs w:val="17"/>
        </w:rPr>
        <w:t xml:space="preserve"># Lot LXX — &lt;titre&gt;</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Objectif</w:t>
      </w:r>
    </w:p>
    <w:p>
      <w:pPr>
        <w:keepLines/>
        <w:shd w:fill="F5F5F5" w:val="clear"/>
        <w:spacing w:after="0" w:line="240"/>
        <w:ind w:left="160" w:right="160"/>
      </w:pPr>
      <w:r>
        <w:rPr>
          <w:rFonts w:ascii="Consolas" w:cs="Consolas" w:eastAsia="Consolas" w:hAnsi="Consolas"/>
          <w:sz w:val="17"/>
          <w:szCs w:val="17"/>
        </w:rPr>
        <w:t xml:space="preserve">&lt;une phrase : ce que l’utilisateur peut faire de nouveau à la fin du lot&gt;</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Spécifications à lire avant de coder</w:t>
      </w:r>
    </w:p>
    <w:p>
      <w:pPr>
        <w:keepLines/>
        <w:shd w:fill="F5F5F5" w:val="clear"/>
        <w:spacing w:after="0" w:line="240"/>
        <w:ind w:left="160" w:right="160"/>
      </w:pPr>
      <w:r>
        <w:rPr>
          <w:rFonts w:ascii="Consolas" w:cs="Consolas" w:eastAsia="Consolas" w:hAnsi="Consolas"/>
          <w:sz w:val="17"/>
          <w:szCs w:val="17"/>
        </w:rPr>
        <w:t xml:space="preserve">docs/specs/&lt;fichiers concernés&gt;</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Périmètre</w:t>
      </w:r>
    </w:p>
    <w:p>
      <w:pPr>
        <w:keepLines/>
        <w:shd w:fill="F5F5F5" w:val="clear"/>
        <w:spacing w:after="0" w:line="240"/>
        <w:ind w:left="160" w:right="160"/>
      </w:pPr>
      <w:r>
        <w:rPr>
          <w:rFonts w:ascii="Consolas" w:cs="Consolas" w:eastAsia="Consolas" w:hAnsi="Consolas"/>
          <w:sz w:val="17"/>
          <w:szCs w:val="17"/>
        </w:rPr>
        <w:t xml:space="preserve">Inclus : …        Exclu (lots ultérieurs) : …</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Exigences couvertes</w:t>
      </w:r>
    </w:p>
    <w:p>
      <w:pPr>
        <w:keepLines/>
        <w:shd w:fill="F5F5F5" w:val="clear"/>
        <w:spacing w:after="0" w:line="240"/>
        <w:ind w:left="160" w:right="160"/>
      </w:pPr>
      <w:r>
        <w:rPr>
          <w:rFonts w:ascii="Consolas" w:cs="Consolas" w:eastAsia="Consolas" w:hAnsi="Consolas"/>
          <w:sz w:val="17"/>
          <w:szCs w:val="17"/>
        </w:rPr>
        <w:t xml:space="preserve">FR-…  |  REC-…</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Plan de tests (écrits avant le code)</w:t>
      </w:r>
    </w:p>
    <w:p>
      <w:pPr>
        <w:keepLines/>
        <w:shd w:fill="F5F5F5" w:val="clear"/>
        <w:spacing w:after="0" w:line="240"/>
        <w:ind w:left="160" w:right="160"/>
      </w:pPr>
      <w:r>
        <w:rPr>
          <w:rFonts w:ascii="Consolas" w:cs="Consolas" w:eastAsia="Consolas" w:hAnsi="Consolas"/>
          <w:sz w:val="17"/>
          <w:szCs w:val="17"/>
        </w:rPr>
        <w:t xml:space="preserve">- test_rec_XX_… : &lt;scénario&gt;</w:t>
      </w:r>
    </w:p>
    <w:p>
      <w:pPr>
        <w:keepLines/>
        <w:shd w:fill="F5F5F5" w:val="clear"/>
        <w:spacing w:after="0" w:line="240"/>
        <w:ind w:left="160" w:right="160"/>
      </w:pPr>
      <w:r>
        <w:rPr>
          <w:rFonts w:ascii="Consolas" w:cs="Consolas" w:eastAsia="Consolas" w:hAnsi="Consolas"/>
          <w:sz w:val="17"/>
          <w:szCs w:val="17"/>
        </w:rPr>
        <w:t xml:space="preserve">- test_&lt;formule&gt;_cas_limites : &lt;liste des cas §7&gt;</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Definition of Done</w:t>
      </w:r>
    </w:p>
    <w:p>
      <w:pPr>
        <w:keepLines/>
        <w:shd w:fill="F5F5F5" w:val="clear"/>
        <w:spacing w:after="0" w:line="240"/>
        <w:ind w:left="160" w:right="160"/>
      </w:pPr>
      <w:r>
        <w:rPr>
          <w:rFonts w:ascii="Consolas" w:cs="Consolas" w:eastAsia="Consolas" w:hAnsi="Consolas"/>
          <w:sz w:val="17"/>
          <w:szCs w:val="17"/>
        </w:rPr>
        <w:t xml:space="preserve">- [ ] tests passants   - [ ] lint/typage   - [ ] migration up/down</w:t>
      </w:r>
    </w:p>
    <w:p>
      <w:pPr>
        <w:keepLines/>
        <w:shd w:fill="F5F5F5" w:val="clear"/>
        <w:spacing w:after="0" w:line="240"/>
        <w:ind w:left="160" w:right="160"/>
      </w:pPr>
      <w:r>
        <w:rPr>
          <w:rFonts w:ascii="Consolas" w:cs="Consolas" w:eastAsia="Consolas" w:hAnsi="Consolas"/>
          <w:sz w:val="17"/>
          <w:szCs w:val="17"/>
        </w:rPr>
        <w:t xml:space="preserve">- [ ] REC vérifiés     - [ ] CHANGELOG     - [ ] décisions consignées</w:t>
      </w:r>
    </w:p>
    <w:p>
      <w:pPr>
        <w:keepLines/>
        <w:shd w:fill="F5F5F5" w:val="clear"/>
        <w:spacing w:after="0" w:line="240"/>
        <w:ind w:left="160" w:right="160"/>
      </w:pPr>
      <w:r>
        <w:rPr>
          <w:rFonts w:ascii="Consolas" w:cs="Consolas" w:eastAsia="Consolas" w:hAnsi="Consolas"/>
          <w:sz w:val="17"/>
          <w:szCs w:val="17"/>
        </w:rPr>
        <w:t xml:space="preserve"> </w:t>
      </w:r>
    </w:p>
    <w:p>
      <w:pPr>
        <w:keepLines/>
        <w:shd w:fill="F5F5F5" w:val="clear"/>
        <w:spacing w:after="0" w:line="240"/>
        <w:ind w:left="160" w:right="160"/>
      </w:pPr>
      <w:r>
        <w:rPr>
          <w:rFonts w:ascii="Consolas" w:cs="Consolas" w:eastAsia="Consolas" w:hAnsi="Consolas"/>
          <w:sz w:val="17"/>
          <w:szCs w:val="17"/>
        </w:rPr>
        <w:t xml:space="preserve">## Décisions prises pendant le lot</w:t>
      </w:r>
    </w:p>
    <w:p>
      <w:pPr>
        <w:keepLines/>
        <w:shd w:fill="F5F5F5" w:val="clear"/>
        <w:spacing w:after="120" w:line="240"/>
        <w:ind w:left="160" w:right="160"/>
      </w:pPr>
      <w:r>
        <w:rPr>
          <w:rFonts w:ascii="Consolas" w:cs="Consolas" w:eastAsia="Consolas" w:hAnsi="Consolas"/>
          <w:sz w:val="17"/>
          <w:szCs w:val="17"/>
        </w:rPr>
        <w:t xml:space="preserve">D-xxx : …</w:t>
      </w:r>
    </w:p>
    <w:p>
      <w:pPr>
        <w:pStyle w:val="Heading2"/>
        <w:spacing w:after="120" w:before="240"/>
      </w:pPr>
      <w:r>
        <w:t xml:space="preserve">F.2 Prompt de session type</w:t>
      </w:r>
    </w:p>
    <w:p>
      <w:pPr>
        <w:keepLines/>
        <w:shd w:fill="F5F5F5" w:val="clear"/>
        <w:spacing w:after="0" w:line="240"/>
        <w:ind w:left="160" w:right="160"/>
      </w:pPr>
      <w:r>
        <w:rPr>
          <w:rFonts w:ascii="Consolas" w:cs="Consolas" w:eastAsia="Consolas" w:hAnsi="Consolas"/>
          <w:sz w:val="17"/>
          <w:szCs w:val="17"/>
        </w:rPr>
        <w:t xml:space="preserve">Implémente le lot L07 décrit dans docs/lots/L07.md.</w:t>
      </w:r>
    </w:p>
    <w:p>
      <w:pPr>
        <w:keepLines/>
        <w:shd w:fill="F5F5F5" w:val="clear"/>
        <w:spacing w:after="0" w:line="240"/>
        <w:ind w:left="160" w:right="160"/>
      </w:pPr>
      <w:r>
        <w:rPr>
          <w:rFonts w:ascii="Consolas" w:cs="Consolas" w:eastAsia="Consolas" w:hAnsi="Consolas"/>
          <w:sz w:val="17"/>
          <w:szCs w:val="17"/>
        </w:rPr>
        <w:t xml:space="preserve">Lis d’abord docs/specs/30-risque.md et docs/specs/10-modele-donnees.md.</w:t>
      </w:r>
    </w:p>
    <w:p>
      <w:pPr>
        <w:keepLines/>
        <w:shd w:fill="F5F5F5" w:val="clear"/>
        <w:spacing w:after="0" w:line="240"/>
        <w:ind w:left="160" w:right="160"/>
      </w:pPr>
      <w:r>
        <w:rPr>
          <w:rFonts w:ascii="Consolas" w:cs="Consolas" w:eastAsia="Consolas" w:hAnsi="Consolas"/>
          <w:sz w:val="17"/>
          <w:szCs w:val="17"/>
        </w:rPr>
        <w:t xml:space="preserve">Propose un plan (fichiers touchés, modèles, endpoints, tests) et attends ma</w:t>
      </w:r>
    </w:p>
    <w:p>
      <w:pPr>
        <w:keepLines/>
        <w:shd w:fill="F5F5F5" w:val="clear"/>
        <w:spacing w:after="0" w:line="240"/>
        <w:ind w:left="160" w:right="160"/>
      </w:pPr>
      <w:r>
        <w:rPr>
          <w:rFonts w:ascii="Consolas" w:cs="Consolas" w:eastAsia="Consolas" w:hAnsi="Consolas"/>
          <w:sz w:val="17"/>
          <w:szCs w:val="17"/>
        </w:rPr>
        <w:t xml:space="preserve">validation avant d’écrire du code. Écris ensuite les tests en premier</w:t>
      </w:r>
    </w:p>
    <w:p>
      <w:pPr>
        <w:keepLines/>
        <w:shd w:fill="F5F5F5" w:val="clear"/>
        <w:spacing w:after="0" w:line="240"/>
        <w:ind w:left="160" w:right="160"/>
      </w:pPr>
      <w:r>
        <w:rPr>
          <w:rFonts w:ascii="Consolas" w:cs="Consolas" w:eastAsia="Consolas" w:hAnsi="Consolas"/>
          <w:sz w:val="17"/>
          <w:szCs w:val="17"/>
        </w:rPr>
        <w:t xml:space="preserve">(dont test_rec_21, test_rec_22, test_rec_23 et les cas limites de §7.2/7.3),</w:t>
      </w:r>
    </w:p>
    <w:p>
      <w:pPr>
        <w:keepLines/>
        <w:shd w:fill="F5F5F5" w:val="clear"/>
        <w:spacing w:after="0" w:line="240"/>
        <w:ind w:left="160" w:right="160"/>
      </w:pPr>
      <w:r>
        <w:rPr>
          <w:rFonts w:ascii="Consolas" w:cs="Consolas" w:eastAsia="Consolas" w:hAnsi="Consolas"/>
          <w:sz w:val="17"/>
          <w:szCs w:val="17"/>
        </w:rPr>
        <w:t xml:space="preserve">puis l’implémentation, puis exécute make test et make lint jusqu’au vert.</w:t>
      </w:r>
    </w:p>
    <w:p>
      <w:pPr>
        <w:keepLines/>
        <w:shd w:fill="F5F5F5" w:val="clear"/>
        <w:spacing w:after="120" w:line="240"/>
        <w:ind w:left="160" w:right="160"/>
      </w:pPr>
      <w:r>
        <w:rPr>
          <w:rFonts w:ascii="Consolas" w:cs="Consolas" w:eastAsia="Consolas" w:hAnsi="Consolas"/>
          <w:sz w:val="17"/>
          <w:szCs w:val="17"/>
        </w:rPr>
        <w:t xml:space="preserve">Ne touche à rien en dehors du périmètre du lot.</w:t>
      </w:r>
    </w:p>
    <w:p>
      <w:pPr>
        <w:pStyle w:val="Heading2"/>
        <w:spacing w:after="120" w:before="240"/>
      </w:pPr>
      <w:r>
        <w:t xml:space="preserve">F.3 Prompts utiles récurrents</w:t>
      </w:r>
    </w:p>
    <w:p>
      <w:pPr>
        <w:pStyle w:val="ListParagraph"/>
        <w:numPr>
          <w:ilvl w:val="0"/>
          <w:numId w:val="2"/>
        </w:numPr>
        <w:spacing w:after="60" w:line="264"/>
      </w:pPr>
      <w:r>
        <w:rPr>
          <w:b/>
          <w:bCs/>
        </w:rPr>
        <w:t xml:space="preserve">Revue : </w:t>
      </w:r>
      <w:r>
        <w:rPr>
          <w:i/>
          <w:iCs/>
        </w:rPr>
        <w:t xml:space="preserve">« Relis le diff du lot L07 comme un relecteur exigeant : erreurs de Decimal/float, cas limites §7 manquants, violations des règles CLAUDE.md, requêtes N+1. Liste, ne corrige pas encore. »</w:t>
      </w:r>
    </w:p>
    <w:p>
      <w:pPr>
        <w:pStyle w:val="ListParagraph"/>
        <w:numPr>
          <w:ilvl w:val="0"/>
          <w:numId w:val="2"/>
        </w:numPr>
        <w:spacing w:after="60" w:line="264"/>
      </w:pPr>
      <w:r>
        <w:rPr>
          <w:b/>
          <w:bCs/>
        </w:rPr>
        <w:t xml:space="preserve">Éclatement du CDC (lot L00) : </w:t>
      </w:r>
      <w:r>
        <w:rPr>
          <w:i/>
          <w:iCs/>
        </w:rPr>
        <w:t xml:space="preserve">« Voici le cahier des charges v2.0. Crée docs/specs/ selon le mapping du §2.4, en copiant le contenu normatif sans le reformuler. Signale toute contradiction détectée au lieu de la résoudre. »</w:t>
      </w:r>
    </w:p>
    <w:p>
      <w:pPr>
        <w:pStyle w:val="ListParagraph"/>
        <w:numPr>
          <w:ilvl w:val="0"/>
          <w:numId w:val="2"/>
        </w:numPr>
        <w:spacing w:after="60" w:line="264"/>
      </w:pPr>
      <w:r>
        <w:rPr>
          <w:b/>
          <w:bCs/>
        </w:rPr>
        <w:t xml:space="preserve">Fixtures (lot L00) : </w:t>
      </w:r>
      <w:r>
        <w:rPr>
          <w:i/>
          <w:iCs/>
        </w:rPr>
        <w:t xml:space="preserve">« À partir de ce fichier réel, génère une fixture anonymisée de structure identique (colonnes, types, formats de date) avec des montants fictifs, puis le JSON attendu après normalisation. »</w:t>
      </w:r>
    </w:p>
    <w:p>
      <w:pPr>
        <w:pStyle w:val="ListParagraph"/>
        <w:numPr>
          <w:ilvl w:val="0"/>
          <w:numId w:val="2"/>
        </w:numPr>
        <w:spacing w:after="60" w:line="264"/>
      </w:pPr>
      <w:r>
        <w:rPr>
          <w:b/>
          <w:bCs/>
        </w:rPr>
        <w:t xml:space="preserve">Reprise après incident : </w:t>
      </w:r>
      <w:r>
        <w:rPr>
          <w:i/>
          <w:iCs/>
        </w:rPr>
        <w:t xml:space="preserve">« make test échoue sur &lt;test&gt;. Reproduis, diagnostique, corrige au plus près de la cause ; n’affaiblis jamais un test pour le faire passer.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Confidentiel — usage personnel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0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4"/>
      <w:szCs w:val="24"/>
    </w:rPr>
  </w:style>
  <w:style w:type="paragraph" w:styleId="Heading3">
    <w:name w:val="Heading 3"/>
    <w:basedOn w:val="Normal"/>
    <w:next w:val="Normal"/>
    <w:qFormat/>
    <w:pPr>
      <w:spacing w:after="100" w:before="180"/>
    </w:pPr>
    <w:rPr>
      <w:rFonts w:ascii="Calibri" w:cs="Calibri" w:eastAsia="Calibri" w:hAnsi="Calibri"/>
      <w:b/>
      <w:bCs/>
      <w:color w:val="40404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v2.0 — Outil local d’aide à la décision</dc:title>
  <dc:creator>Agent Investissement France</dc:creator>
  <cp:lastModifiedBy>Un-named</cp:lastModifiedBy>
  <cp:revision>1</cp:revision>
  <dcterms:created xsi:type="dcterms:W3CDTF">2026-07-21T04:53:52.944Z</dcterms:created>
  <dcterms:modified xsi:type="dcterms:W3CDTF">2026-07-21T04:53:52.946Z</dcterms:modified>
</cp:coreProperties>
</file>

<file path=docProps/custom.xml><?xml version="1.0" encoding="utf-8"?>
<Properties xmlns="http://schemas.openxmlformats.org/officeDocument/2006/custom-properties" xmlns:vt="http://schemas.openxmlformats.org/officeDocument/2006/docPropsVTypes"/>
</file>