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/>
      </w:pPr>
      <w:r>
        <w:rPr>
          <w:rFonts w:ascii="Calibri" w:hAnsi="Calibri"/>
          <w:b/>
          <w:color w:val="7C3AED"/>
          <w:sz w:val="24"/>
        </w:rPr>
        <w:t>INDUSTRY NIGHT</w:t>
      </w:r>
    </w:p>
    <w:p>
      <w:pPr>
        <w:spacing w:after="80"/>
      </w:pPr>
      <w:r>
        <w:rPr>
          <w:rFonts w:ascii="Calibri" w:hAnsi="Calibri"/>
          <w:b/>
          <w:color w:val="1F2037"/>
          <w:sz w:val="56"/>
        </w:rPr>
        <w:t>Post-Event Sponsor Report</w:t>
      </w:r>
    </w:p>
    <w:p>
      <w:pPr>
        <w:spacing w:after="480"/>
      </w:pPr>
      <w:r>
        <w:rPr>
          <w:rFonts w:ascii="Calibri" w:hAnsi="Calibri"/>
          <w:color w:val="7C3AED"/>
          <w:sz w:val="32"/>
        </w:rPr>
        <w:t>Industry Night NYC — April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/>
            <w:r>
              <w:rPr>
                <w:rFonts w:ascii="Calibri" w:hAnsi="Calibri"/>
                <w:b/>
                <w:color w:val="6B7280"/>
                <w:sz w:val="16"/>
              </w:rPr>
              <w:t>EVENT DETAILS</w:t>
              <w:br/>
            </w:r>
            <w:r>
              <w:rPr>
                <w:rFonts w:ascii="Calibri" w:hAnsi="Calibri"/>
                <w:color w:val="1F2037"/>
                <w:sz w:val="20"/>
              </w:rPr>
              <w:t>Friday, April 17, 2026</w:t>
              <w:br/>
              <w:t>8:00 PM – 1:00 AM</w:t>
              <w:br/>
              <w:t>The Brooklyn Mirage</w:t>
              <w:br/>
              <w:t>140 Stewart Ave, Brooklyn, NY 11237</w:t>
            </w:r>
          </w:p>
        </w:tc>
        <w:tc>
          <w:tcPr>
            <w:tcW w:type="dxa" w:w="468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/>
            <w:r>
              <w:rPr>
                <w:rFonts w:ascii="Calibri" w:hAnsi="Calibri"/>
                <w:b/>
                <w:color w:val="6B7280"/>
                <w:sz w:val="16"/>
              </w:rPr>
              <w:t>PREPARED FOR</w:t>
              <w:br/>
            </w:r>
            <w:r>
              <w:rPr>
                <w:rFonts w:ascii="Calibri" w:hAnsi="Calibri"/>
                <w:color w:val="1F2037"/>
                <w:sz w:val="20"/>
              </w:rPr>
              <w:t>Olaplex Professional</w:t>
              <w:br/>
              <w:t>Gold Tier Sponsor</w:t>
            </w:r>
          </w:p>
        </w:tc>
      </w:tr>
    </w:tbl>
    <w:p/>
    <w:p>
      <w:pPr>
        <w:spacing w:before="480" w:after="240"/>
        <w:pBdr>
          <w:bottom w:val="single" w:sz="8" w:color="7C3AED" w:space="4"/>
        </w:pBdr>
      </w:pPr>
      <w:r>
        <w:rPr>
          <w:rFonts w:ascii="Calibri" w:hAnsi="Calibri"/>
          <w:b/>
          <w:color w:val="7C3AED"/>
          <w:sz w:val="32"/>
        </w:rPr>
        <w:t>Key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C3AED"/>
                <w:sz w:val="56"/>
              </w:rPr>
              <w:t>247</w:t>
            </w:r>
          </w:p>
        </w:tc>
        <w:tc>
          <w:tcPr>
            <w:tcW w:type="dxa" w:w="234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C3AED"/>
                <w:sz w:val="56"/>
              </w:rPr>
              <w:t>487</w:t>
            </w:r>
          </w:p>
        </w:tc>
        <w:tc>
          <w:tcPr>
            <w:tcW w:type="dxa" w:w="234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C3AED"/>
                <w:sz w:val="56"/>
              </w:rPr>
              <w:t>4.2</w:t>
            </w:r>
          </w:p>
        </w:tc>
        <w:tc>
          <w:tcPr>
            <w:tcW w:type="dxa" w:w="234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C3AED"/>
                <w:sz w:val="56"/>
              </w:rPr>
              <w:t>93.5%</w:t>
            </w:r>
          </w:p>
        </w:tc>
      </w:tr>
      <w:tr>
        <w:tc>
          <w:tcPr>
            <w:tcW w:type="dxa" w:w="234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8"/>
              </w:rPr>
              <w:t>Total Attendees</w:t>
            </w:r>
          </w:p>
        </w:tc>
        <w:tc>
          <w:tcPr>
            <w:tcW w:type="dxa" w:w="234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8"/>
              </w:rPr>
              <w:t>Connections Made</w:t>
            </w:r>
          </w:p>
        </w:tc>
        <w:tc>
          <w:tcPr>
            <w:tcW w:type="dxa" w:w="234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8"/>
              </w:rPr>
              <w:t>Avg Connections / Person</w:t>
            </w:r>
          </w:p>
        </w:tc>
        <w:tc>
          <w:tcPr>
            <w:tcW w:type="dxa" w:w="234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8"/>
              </w:rPr>
              <w:t>Check-in Rate</w:t>
            </w:r>
          </w:p>
        </w:tc>
      </w:tr>
    </w:tbl>
    <w:p/>
    <w:p>
      <w:pPr>
        <w:spacing w:before="480" w:after="240"/>
        <w:pBdr>
          <w:bottom w:val="single" w:sz="8" w:color="7C3AED" w:space="4"/>
        </w:pBdr>
      </w:pPr>
      <w:r>
        <w:rPr>
          <w:rFonts w:ascii="Calibri" w:hAnsi="Calibri"/>
          <w:b/>
          <w:color w:val="7C3AED"/>
          <w:sz w:val="32"/>
        </w:rPr>
        <w:t>Audience Demographics</w:t>
      </w:r>
    </w:p>
    <w:p>
      <w:pPr>
        <w:spacing w:after="320" w:before="0"/>
      </w:pPr>
      <w:r>
        <w:rPr>
          <w:rFonts w:ascii="Calibri" w:hAnsi="Calibri"/>
          <w:b w:val="0"/>
          <w:color w:val="1F2037"/>
          <w:sz w:val="22"/>
        </w:rPr>
        <w:t>Your brand was presented to 247 verified creative professionals. The audience was dominated by hair stylists (38.5%) and makeup artists (22.5%), with a strong photography and videography contingent.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tcBorders>
              <w:top w:val="single" w:sz="0" w:color="FFFFFF"/>
              <w:bottom w:val="single" w:sz="0" w:color="FFFFFF"/>
              <w:left w:val="single" w:sz="0" w:color="FFFFFF"/>
              <w:right w:val="single" w:sz="0" w:color="FFFFFF"/>
            </w:tcBorders>
            <w:tcMar>
              <w:right w:w="120" w:type="dxa"/>
              <w:top w:w="30" w:type="dxa"/>
              <w:bottom w:w="30" w:type="dxa"/>
            </w:tcMar>
          </w:tcPr>
          <w:p>
            <w:pPr>
              <w:jc w:val="right"/>
            </w:pPr>
            <w:r/>
            <w:r>
              <w:rPr>
                <w:rFonts w:ascii="Calibri" w:hAnsi="Calibri"/>
                <w:color w:val="1F2037"/>
                <w:sz w:val="20"/>
              </w:rPr>
              <w:t>Hair Stylist</w:t>
            </w:r>
          </w:p>
        </w:tc>
        <w:tc>
          <w:tcPr>
            <w:tcW w:type="dxa" w:w="5040"/>
            <w:tcBorders>
              <w:top w:val="single" w:sz="0" w:color="FFFFFF"/>
              <w:bottom w:val="single" w:sz="0" w:color="FFFFFF"/>
              <w:left w:val="single" w:sz="0" w:color="FFFFFF"/>
              <w:right w:val="single" w:sz="0" w:color="FFFFFF"/>
            </w:tcBorders>
            <w:tcMar>
              <w:top w:w="30" w:type="dxa"/>
              <w:bottom w:w="30" w:type="dxa"/>
            </w:tcMar>
          </w:tcPr>
          <w:p>
            <w:r/>
            <w:r>
              <w:rPr>
                <w:rFonts w:ascii="Calibri" w:hAnsi="Calibri"/>
                <w:color w:val="7C3AED"/>
                <w:sz w:val="20"/>
              </w:rPr>
              <w:t>██████████████████████████████</w:t>
            </w:r>
          </w:p>
        </w:tc>
        <w:tc>
          <w:tcPr>
            <w:tcW w:type="dxa" w:w="1152"/>
            <w:tcBorders>
              <w:top w:val="single" w:sz="0" w:color="FFFFFF"/>
              <w:bottom w:val="single" w:sz="0" w:color="FFFFFF"/>
              <w:left w:val="single" w:sz="0" w:color="FFFFFF"/>
              <w:right w:val="single" w:sz="0" w:color="FFFFFF"/>
            </w:tcBorders>
            <w:tcMar>
              <w:left w:w="80" w:type="dxa"/>
              <w:top w:w="30" w:type="dxa"/>
              <w:bottom w:w="30" w:type="dxa"/>
            </w:tcMar>
          </w:tcPr>
          <w:p>
            <w:r/>
            <w:r>
              <w:rPr>
                <w:rFonts w:ascii="Calibri" w:hAnsi="Calibri"/>
                <w:color w:val="6B7280"/>
                <w:sz w:val="18"/>
              </w:rPr>
              <w:t>89  (38.5%)</w:t>
            </w:r>
          </w:p>
        </w:tc>
      </w:tr>
      <w:tr>
        <w:tc>
          <w:tcPr>
            <w:tcW w:type="dxa" w:w="2592"/>
            <w:tcBorders>
              <w:top w:val="single" w:sz="0" w:color="FFFFFF"/>
              <w:bottom w:val="single" w:sz="0" w:color="FFFFFF"/>
              <w:left w:val="single" w:sz="0" w:color="FFFFFF"/>
              <w:right w:val="single" w:sz="0" w:color="FFFFFF"/>
            </w:tcBorders>
            <w:tcMar>
              <w:right w:w="120" w:type="dxa"/>
              <w:top w:w="30" w:type="dxa"/>
              <w:bottom w:w="30" w:type="dxa"/>
            </w:tcMar>
          </w:tcPr>
          <w:p>
            <w:pPr>
              <w:jc w:val="right"/>
            </w:pPr>
            <w:r/>
            <w:r>
              <w:rPr>
                <w:rFonts w:ascii="Calibri" w:hAnsi="Calibri"/>
                <w:color w:val="1F2037"/>
                <w:sz w:val="20"/>
              </w:rPr>
              <w:t>Makeup Artist</w:t>
            </w:r>
          </w:p>
        </w:tc>
        <w:tc>
          <w:tcPr>
            <w:tcW w:type="dxa" w:w="5040"/>
            <w:tcBorders>
              <w:top w:val="single" w:sz="0" w:color="FFFFFF"/>
              <w:bottom w:val="single" w:sz="0" w:color="FFFFFF"/>
              <w:left w:val="single" w:sz="0" w:color="FFFFFF"/>
              <w:right w:val="single" w:sz="0" w:color="FFFFFF"/>
            </w:tcBorders>
            <w:tcMar>
              <w:top w:w="30" w:type="dxa"/>
              <w:bottom w:w="30" w:type="dxa"/>
            </w:tcMar>
          </w:tcPr>
          <w:p>
            <w:r/>
            <w:r>
              <w:rPr>
                <w:rFonts w:ascii="Calibri" w:hAnsi="Calibri"/>
                <w:color w:val="A78BFA"/>
                <w:sz w:val="20"/>
              </w:rPr>
              <w:t>█████████████████</w:t>
            </w:r>
          </w:p>
        </w:tc>
        <w:tc>
          <w:tcPr>
            <w:tcW w:type="dxa" w:w="1152"/>
            <w:tcBorders>
              <w:top w:val="single" w:sz="0" w:color="FFFFFF"/>
              <w:bottom w:val="single" w:sz="0" w:color="FFFFFF"/>
              <w:left w:val="single" w:sz="0" w:color="FFFFFF"/>
              <w:right w:val="single" w:sz="0" w:color="FFFFFF"/>
            </w:tcBorders>
            <w:tcMar>
              <w:left w:w="80" w:type="dxa"/>
              <w:top w:w="30" w:type="dxa"/>
              <w:bottom w:w="30" w:type="dxa"/>
            </w:tcMar>
          </w:tcPr>
          <w:p>
            <w:r/>
            <w:r>
              <w:rPr>
                <w:rFonts w:ascii="Calibri" w:hAnsi="Calibri"/>
                <w:color w:val="6B7280"/>
                <w:sz w:val="18"/>
              </w:rPr>
              <w:t>52  (22.5%)</w:t>
            </w:r>
          </w:p>
        </w:tc>
      </w:tr>
      <w:tr>
        <w:tc>
          <w:tcPr>
            <w:tcW w:type="dxa" w:w="2592"/>
            <w:tcBorders>
              <w:top w:val="single" w:sz="0" w:color="FFFFFF"/>
              <w:bottom w:val="single" w:sz="0" w:color="FFFFFF"/>
              <w:left w:val="single" w:sz="0" w:color="FFFFFF"/>
              <w:right w:val="single" w:sz="0" w:color="FFFFFF"/>
            </w:tcBorders>
            <w:tcMar>
              <w:right w:w="120" w:type="dxa"/>
              <w:top w:w="30" w:type="dxa"/>
              <w:bottom w:w="30" w:type="dxa"/>
            </w:tcMar>
          </w:tcPr>
          <w:p>
            <w:pPr>
              <w:jc w:val="right"/>
            </w:pPr>
            <w:r/>
            <w:r>
              <w:rPr>
                <w:rFonts w:ascii="Calibri" w:hAnsi="Calibri"/>
                <w:color w:val="1F2037"/>
                <w:sz w:val="20"/>
              </w:rPr>
              <w:t>Photographer</w:t>
            </w:r>
          </w:p>
        </w:tc>
        <w:tc>
          <w:tcPr>
            <w:tcW w:type="dxa" w:w="5040"/>
            <w:tcBorders>
              <w:top w:val="single" w:sz="0" w:color="FFFFFF"/>
              <w:bottom w:val="single" w:sz="0" w:color="FFFFFF"/>
              <w:left w:val="single" w:sz="0" w:color="FFFFFF"/>
              <w:right w:val="single" w:sz="0" w:color="FFFFFF"/>
            </w:tcBorders>
            <w:tcMar>
              <w:top w:w="30" w:type="dxa"/>
              <w:bottom w:w="30" w:type="dxa"/>
            </w:tcMar>
          </w:tcPr>
          <w:p>
            <w:r/>
            <w:r>
              <w:rPr>
                <w:rFonts w:ascii="Calibri" w:hAnsi="Calibri"/>
                <w:color w:val="A78BFA"/>
                <w:sz w:val="20"/>
              </w:rPr>
              <w:t>███████████</w:t>
            </w:r>
          </w:p>
        </w:tc>
        <w:tc>
          <w:tcPr>
            <w:tcW w:type="dxa" w:w="1152"/>
            <w:tcBorders>
              <w:top w:val="single" w:sz="0" w:color="FFFFFF"/>
              <w:bottom w:val="single" w:sz="0" w:color="FFFFFF"/>
              <w:left w:val="single" w:sz="0" w:color="FFFFFF"/>
              <w:right w:val="single" w:sz="0" w:color="FFFFFF"/>
            </w:tcBorders>
            <w:tcMar>
              <w:left w:w="80" w:type="dxa"/>
              <w:top w:w="30" w:type="dxa"/>
              <w:bottom w:w="30" w:type="dxa"/>
            </w:tcMar>
          </w:tcPr>
          <w:p>
            <w:r/>
            <w:r>
              <w:rPr>
                <w:rFonts w:ascii="Calibri" w:hAnsi="Calibri"/>
                <w:color w:val="6B7280"/>
                <w:sz w:val="18"/>
              </w:rPr>
              <w:t>34  (14.7%)</w:t>
            </w:r>
          </w:p>
        </w:tc>
      </w:tr>
      <w:tr>
        <w:tc>
          <w:tcPr>
            <w:tcW w:type="dxa" w:w="2592"/>
            <w:tcBorders>
              <w:top w:val="single" w:sz="0" w:color="FFFFFF"/>
              <w:bottom w:val="single" w:sz="0" w:color="FFFFFF"/>
              <w:left w:val="single" w:sz="0" w:color="FFFFFF"/>
              <w:right w:val="single" w:sz="0" w:color="FFFFFF"/>
            </w:tcBorders>
            <w:tcMar>
              <w:right w:w="120" w:type="dxa"/>
              <w:top w:w="30" w:type="dxa"/>
              <w:bottom w:w="30" w:type="dxa"/>
            </w:tcMar>
          </w:tcPr>
          <w:p>
            <w:pPr>
              <w:jc w:val="right"/>
            </w:pPr>
            <w:r/>
            <w:r>
              <w:rPr>
                <w:rFonts w:ascii="Calibri" w:hAnsi="Calibri"/>
                <w:color w:val="1F2037"/>
                <w:sz w:val="20"/>
              </w:rPr>
              <w:t>Videographer</w:t>
            </w:r>
          </w:p>
        </w:tc>
        <w:tc>
          <w:tcPr>
            <w:tcW w:type="dxa" w:w="5040"/>
            <w:tcBorders>
              <w:top w:val="single" w:sz="0" w:color="FFFFFF"/>
              <w:bottom w:val="single" w:sz="0" w:color="FFFFFF"/>
              <w:left w:val="single" w:sz="0" w:color="FFFFFF"/>
              <w:right w:val="single" w:sz="0" w:color="FFFFFF"/>
            </w:tcBorders>
            <w:tcMar>
              <w:top w:w="30" w:type="dxa"/>
              <w:bottom w:w="30" w:type="dxa"/>
            </w:tcMar>
          </w:tcPr>
          <w:p>
            <w:r/>
            <w:r>
              <w:rPr>
                <w:rFonts w:ascii="Calibri" w:hAnsi="Calibri"/>
                <w:color w:val="A78BFA"/>
                <w:sz w:val="20"/>
              </w:rPr>
              <w:t>███████</w:t>
            </w:r>
          </w:p>
        </w:tc>
        <w:tc>
          <w:tcPr>
            <w:tcW w:type="dxa" w:w="1152"/>
            <w:tcBorders>
              <w:top w:val="single" w:sz="0" w:color="FFFFFF"/>
              <w:bottom w:val="single" w:sz="0" w:color="FFFFFF"/>
              <w:left w:val="single" w:sz="0" w:color="FFFFFF"/>
              <w:right w:val="single" w:sz="0" w:color="FFFFFF"/>
            </w:tcBorders>
            <w:tcMar>
              <w:left w:w="80" w:type="dxa"/>
              <w:top w:w="30" w:type="dxa"/>
              <w:bottom w:w="30" w:type="dxa"/>
            </w:tcMar>
          </w:tcPr>
          <w:p>
            <w:r/>
            <w:r>
              <w:rPr>
                <w:rFonts w:ascii="Calibri" w:hAnsi="Calibri"/>
                <w:color w:val="6B7280"/>
                <w:sz w:val="18"/>
              </w:rPr>
              <w:t>21  (9.1%)</w:t>
            </w:r>
          </w:p>
        </w:tc>
      </w:tr>
      <w:tr>
        <w:tc>
          <w:tcPr>
            <w:tcW w:type="dxa" w:w="2592"/>
            <w:tcBorders>
              <w:top w:val="single" w:sz="0" w:color="FFFFFF"/>
              <w:bottom w:val="single" w:sz="0" w:color="FFFFFF"/>
              <w:left w:val="single" w:sz="0" w:color="FFFFFF"/>
              <w:right w:val="single" w:sz="0" w:color="FFFFFF"/>
            </w:tcBorders>
            <w:tcMar>
              <w:right w:w="120" w:type="dxa"/>
              <w:top w:w="30" w:type="dxa"/>
              <w:bottom w:w="30" w:type="dxa"/>
            </w:tcMar>
          </w:tcPr>
          <w:p>
            <w:pPr>
              <w:jc w:val="right"/>
            </w:pPr>
            <w:r/>
            <w:r>
              <w:rPr>
                <w:rFonts w:ascii="Calibri" w:hAnsi="Calibri"/>
                <w:color w:val="1F2037"/>
                <w:sz w:val="20"/>
              </w:rPr>
              <w:t>Nail Technician</w:t>
            </w:r>
          </w:p>
        </w:tc>
        <w:tc>
          <w:tcPr>
            <w:tcW w:type="dxa" w:w="5040"/>
            <w:tcBorders>
              <w:top w:val="single" w:sz="0" w:color="FFFFFF"/>
              <w:bottom w:val="single" w:sz="0" w:color="FFFFFF"/>
              <w:left w:val="single" w:sz="0" w:color="FFFFFF"/>
              <w:right w:val="single" w:sz="0" w:color="FFFFFF"/>
            </w:tcBorders>
            <w:tcMar>
              <w:top w:w="30" w:type="dxa"/>
              <w:bottom w:w="30" w:type="dxa"/>
            </w:tcMar>
          </w:tcPr>
          <w:p>
            <w:r/>
            <w:r>
              <w:rPr>
                <w:rFonts w:ascii="Calibri" w:hAnsi="Calibri"/>
                <w:color w:val="A78BFA"/>
                <w:sz w:val="20"/>
              </w:rPr>
              <w:t>█████</w:t>
            </w:r>
          </w:p>
        </w:tc>
        <w:tc>
          <w:tcPr>
            <w:tcW w:type="dxa" w:w="1152"/>
            <w:tcBorders>
              <w:top w:val="single" w:sz="0" w:color="FFFFFF"/>
              <w:bottom w:val="single" w:sz="0" w:color="FFFFFF"/>
              <w:left w:val="single" w:sz="0" w:color="FFFFFF"/>
              <w:right w:val="single" w:sz="0" w:color="FFFFFF"/>
            </w:tcBorders>
            <w:tcMar>
              <w:left w:w="80" w:type="dxa"/>
              <w:top w:w="30" w:type="dxa"/>
              <w:bottom w:w="30" w:type="dxa"/>
            </w:tcMar>
          </w:tcPr>
          <w:p>
            <w:r/>
            <w:r>
              <w:rPr>
                <w:rFonts w:ascii="Calibri" w:hAnsi="Calibri"/>
                <w:color w:val="6B7280"/>
                <w:sz w:val="18"/>
              </w:rPr>
              <w:t>15  (6.5%)</w:t>
            </w:r>
          </w:p>
        </w:tc>
      </w:tr>
      <w:tr>
        <w:tc>
          <w:tcPr>
            <w:tcW w:type="dxa" w:w="2592"/>
            <w:tcBorders>
              <w:top w:val="single" w:sz="0" w:color="FFFFFF"/>
              <w:bottom w:val="single" w:sz="0" w:color="FFFFFF"/>
              <w:left w:val="single" w:sz="0" w:color="FFFFFF"/>
              <w:right w:val="single" w:sz="0" w:color="FFFFFF"/>
            </w:tcBorders>
            <w:tcMar>
              <w:right w:w="120" w:type="dxa"/>
              <w:top w:w="30" w:type="dxa"/>
              <w:bottom w:w="30" w:type="dxa"/>
            </w:tcMar>
          </w:tcPr>
          <w:p>
            <w:pPr>
              <w:jc w:val="right"/>
            </w:pPr>
            <w:r/>
            <w:r>
              <w:rPr>
                <w:rFonts w:ascii="Calibri" w:hAnsi="Calibri"/>
                <w:color w:val="1F2037"/>
                <w:sz w:val="20"/>
              </w:rPr>
              <w:t>Model</w:t>
            </w:r>
          </w:p>
        </w:tc>
        <w:tc>
          <w:tcPr>
            <w:tcW w:type="dxa" w:w="5040"/>
            <w:tcBorders>
              <w:top w:val="single" w:sz="0" w:color="FFFFFF"/>
              <w:bottom w:val="single" w:sz="0" w:color="FFFFFF"/>
              <w:left w:val="single" w:sz="0" w:color="FFFFFF"/>
              <w:right w:val="single" w:sz="0" w:color="FFFFFF"/>
            </w:tcBorders>
            <w:tcMar>
              <w:top w:w="30" w:type="dxa"/>
              <w:bottom w:w="30" w:type="dxa"/>
            </w:tcMar>
          </w:tcPr>
          <w:p>
            <w:r/>
            <w:r>
              <w:rPr>
                <w:rFonts w:ascii="Calibri" w:hAnsi="Calibri"/>
                <w:color w:val="A78BFA"/>
                <w:sz w:val="20"/>
              </w:rPr>
              <w:t>███</w:t>
            </w:r>
          </w:p>
        </w:tc>
        <w:tc>
          <w:tcPr>
            <w:tcW w:type="dxa" w:w="1152"/>
            <w:tcBorders>
              <w:top w:val="single" w:sz="0" w:color="FFFFFF"/>
              <w:bottom w:val="single" w:sz="0" w:color="FFFFFF"/>
              <w:left w:val="single" w:sz="0" w:color="FFFFFF"/>
              <w:right w:val="single" w:sz="0" w:color="FFFFFF"/>
            </w:tcBorders>
            <w:tcMar>
              <w:left w:w="80" w:type="dxa"/>
              <w:top w:w="30" w:type="dxa"/>
              <w:bottom w:w="30" w:type="dxa"/>
            </w:tcMar>
          </w:tcPr>
          <w:p>
            <w:r/>
            <w:r>
              <w:rPr>
                <w:rFonts w:ascii="Calibri" w:hAnsi="Calibri"/>
                <w:color w:val="6B7280"/>
                <w:sz w:val="18"/>
              </w:rPr>
              <w:t>11  (4.8%)</w:t>
            </w:r>
          </w:p>
        </w:tc>
      </w:tr>
      <w:tr>
        <w:tc>
          <w:tcPr>
            <w:tcW w:type="dxa" w:w="2592"/>
            <w:tcBorders>
              <w:top w:val="single" w:sz="0" w:color="FFFFFF"/>
              <w:bottom w:val="single" w:sz="0" w:color="FFFFFF"/>
              <w:left w:val="single" w:sz="0" w:color="FFFFFF"/>
              <w:right w:val="single" w:sz="0" w:color="FFFFFF"/>
            </w:tcBorders>
            <w:tcMar>
              <w:right w:w="120" w:type="dxa"/>
              <w:top w:w="30" w:type="dxa"/>
              <w:bottom w:w="30" w:type="dxa"/>
            </w:tcMar>
          </w:tcPr>
          <w:p>
            <w:pPr>
              <w:jc w:val="right"/>
            </w:pPr>
            <w:r/>
            <w:r>
              <w:rPr>
                <w:rFonts w:ascii="Calibri" w:hAnsi="Calibri"/>
                <w:color w:val="1F2037"/>
                <w:sz w:val="20"/>
              </w:rPr>
              <w:t>Other</w:t>
            </w:r>
          </w:p>
        </w:tc>
        <w:tc>
          <w:tcPr>
            <w:tcW w:type="dxa" w:w="5040"/>
            <w:tcBorders>
              <w:top w:val="single" w:sz="0" w:color="FFFFFF"/>
              <w:bottom w:val="single" w:sz="0" w:color="FFFFFF"/>
              <w:left w:val="single" w:sz="0" w:color="FFFFFF"/>
              <w:right w:val="single" w:sz="0" w:color="FFFFFF"/>
            </w:tcBorders>
            <w:tcMar>
              <w:top w:w="30" w:type="dxa"/>
              <w:bottom w:w="30" w:type="dxa"/>
            </w:tcMar>
          </w:tcPr>
          <w:p>
            <w:r/>
            <w:r>
              <w:rPr>
                <w:rFonts w:ascii="Calibri" w:hAnsi="Calibri"/>
                <w:color w:val="A78BFA"/>
                <w:sz w:val="20"/>
              </w:rPr>
              <w:t>███</w:t>
            </w:r>
          </w:p>
        </w:tc>
        <w:tc>
          <w:tcPr>
            <w:tcW w:type="dxa" w:w="1152"/>
            <w:tcBorders>
              <w:top w:val="single" w:sz="0" w:color="FFFFFF"/>
              <w:bottom w:val="single" w:sz="0" w:color="FFFFFF"/>
              <w:left w:val="single" w:sz="0" w:color="FFFFFF"/>
              <w:right w:val="single" w:sz="0" w:color="FFFFFF"/>
            </w:tcBorders>
            <w:tcMar>
              <w:left w:w="80" w:type="dxa"/>
              <w:top w:w="30" w:type="dxa"/>
              <w:bottom w:w="30" w:type="dxa"/>
            </w:tcMar>
          </w:tcPr>
          <w:p>
            <w:r/>
            <w:r>
              <w:rPr>
                <w:rFonts w:ascii="Calibri" w:hAnsi="Calibri"/>
                <w:color w:val="6B7280"/>
                <w:sz w:val="18"/>
              </w:rPr>
              <w:t>9  (3.9%)</w:t>
            </w:r>
          </w:p>
        </w:tc>
      </w:tr>
    </w:tbl>
    <w:p/>
    <w:p>
      <w:pPr>
        <w:spacing w:before="480" w:after="240"/>
        <w:pBdr>
          <w:bottom w:val="single" w:sz="8" w:color="7C3AED" w:space="4"/>
        </w:pBdr>
      </w:pPr>
      <w:r>
        <w:rPr>
          <w:rFonts w:ascii="Calibri" w:hAnsi="Calibri"/>
          <w:b/>
          <w:color w:val="7C3AED"/>
          <w:sz w:val="32"/>
        </w:rPr>
        <w:t>Networking Activity</w:t>
      </w:r>
    </w:p>
    <w:p>
      <w:pPr>
        <w:spacing w:after="320" w:before="0"/>
      </w:pPr>
      <w:r>
        <w:rPr>
          <w:rFonts w:ascii="Calibri" w:hAnsi="Calibri"/>
          <w:b w:val="0"/>
          <w:color w:val="1F2037"/>
          <w:sz w:val="22"/>
        </w:rPr>
        <w:t>Attendees made 487 verified professional connections during the event. 67% of connections were cross-specialty, indicating active cross-discipline networking rather than siloed groups.</w:t>
      </w:r>
    </w:p>
    <w:p>
      <w:pPr>
        <w:spacing w:after="160" w:before="0"/>
      </w:pPr>
      <w:r>
        <w:rPr>
          <w:rFonts w:ascii="Calibri" w:hAnsi="Calibri"/>
          <w:b/>
          <w:color w:val="1F2037"/>
          <w:sz w:val="24"/>
        </w:rPr>
        <w:t>Top Specialty Pairings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608"/>
            <w:shd w:fill="7C3AED" w:val="clear"/>
            <w:tcBorders>
              <w:top w:val="single" w:sz="4" w:color="7C3AED"/>
              <w:bottom w:val="single" w:sz="4" w:color="7C3AED"/>
              <w:left w:val="single" w:sz="4" w:color="7C3AED"/>
              <w:right w:val="single" w:sz="4" w:color="7C3AED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Specialty Pairing</w:t>
            </w:r>
          </w:p>
        </w:tc>
        <w:tc>
          <w:tcPr>
            <w:tcW w:type="dxa" w:w="2016"/>
            <w:shd w:fill="7C3AED" w:val="clear"/>
            <w:tcBorders>
              <w:top w:val="single" w:sz="4" w:color="7C3AED"/>
              <w:bottom w:val="single" w:sz="4" w:color="7C3AED"/>
              <w:left w:val="single" w:sz="4" w:color="7C3AED"/>
              <w:right w:val="single" w:sz="4" w:color="7C3AED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Connections</w:t>
            </w:r>
          </w:p>
        </w:tc>
        <w:tc>
          <w:tcPr>
            <w:tcW w:type="dxa" w:w="2304"/>
            <w:shd w:fill="7C3AED" w:val="clear"/>
            <w:tcBorders>
              <w:top w:val="single" w:sz="4" w:color="7C3AED"/>
              <w:bottom w:val="single" w:sz="4" w:color="7C3AED"/>
              <w:left w:val="single" w:sz="4" w:color="7C3AED"/>
              <w:right w:val="single" w:sz="4" w:color="7C3AED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Rate vs. Average</w:t>
            </w:r>
          </w:p>
        </w:tc>
      </w:tr>
      <w:tr>
        <w:tc>
          <w:tcPr>
            <w:tcW w:type="dxa" w:w="4608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1F2037"/>
                <w:sz w:val="20"/>
              </w:rPr>
              <w:t>Hair Stylist  ↔  Makeup Artist</w:t>
            </w:r>
          </w:p>
        </w:tc>
        <w:tc>
          <w:tcPr>
            <w:tcW w:type="dxa" w:w="2016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1F2037"/>
                <w:sz w:val="20"/>
              </w:rPr>
              <w:t>127</w:t>
            </w:r>
          </w:p>
        </w:tc>
        <w:tc>
          <w:tcPr>
            <w:tcW w:type="dxa" w:w="2304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1F2037"/>
                <w:sz w:val="20"/>
              </w:rPr>
              <w:t>3.1x avg</w:t>
            </w:r>
          </w:p>
        </w:tc>
      </w:tr>
      <w:tr>
        <w:tc>
          <w:tcPr>
            <w:tcW w:type="dxa" w:w="4608"/>
            <w:shd w:fill="F5F3FF" w:val="clear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1F2037"/>
                <w:sz w:val="20"/>
              </w:rPr>
              <w:t>Photographer  ↔  Model</w:t>
            </w:r>
          </w:p>
        </w:tc>
        <w:tc>
          <w:tcPr>
            <w:tcW w:type="dxa" w:w="2016"/>
            <w:shd w:fill="F5F3FF" w:val="clear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1F2037"/>
                <w:sz w:val="20"/>
              </w:rPr>
              <w:t>48</w:t>
            </w:r>
          </w:p>
        </w:tc>
        <w:tc>
          <w:tcPr>
            <w:tcW w:type="dxa" w:w="2304"/>
            <w:shd w:fill="F5F3FF" w:val="clear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1F2037"/>
                <w:sz w:val="20"/>
              </w:rPr>
              <w:t>2.4x avg</w:t>
            </w:r>
          </w:p>
        </w:tc>
      </w:tr>
      <w:tr>
        <w:tc>
          <w:tcPr>
            <w:tcW w:type="dxa" w:w="4608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1F2037"/>
                <w:sz w:val="20"/>
              </w:rPr>
              <w:t>Hair Stylist  ↔  Photographer</w:t>
            </w:r>
          </w:p>
        </w:tc>
        <w:tc>
          <w:tcPr>
            <w:tcW w:type="dxa" w:w="2016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1F2037"/>
                <w:sz w:val="20"/>
              </w:rPr>
              <w:t>41</w:t>
            </w:r>
          </w:p>
        </w:tc>
        <w:tc>
          <w:tcPr>
            <w:tcW w:type="dxa" w:w="2304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1F2037"/>
                <w:sz w:val="20"/>
              </w:rPr>
              <w:t>1.8x avg</w:t>
            </w:r>
          </w:p>
        </w:tc>
      </w:tr>
      <w:tr>
        <w:tc>
          <w:tcPr>
            <w:tcW w:type="dxa" w:w="4608"/>
            <w:shd w:fill="F5F3FF" w:val="clear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1F2037"/>
                <w:sz w:val="20"/>
              </w:rPr>
              <w:t>Videographer  ↔  Photographer</w:t>
            </w:r>
          </w:p>
        </w:tc>
        <w:tc>
          <w:tcPr>
            <w:tcW w:type="dxa" w:w="2016"/>
            <w:shd w:fill="F5F3FF" w:val="clear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1F2037"/>
                <w:sz w:val="20"/>
              </w:rPr>
              <w:t>37</w:t>
            </w:r>
          </w:p>
        </w:tc>
        <w:tc>
          <w:tcPr>
            <w:tcW w:type="dxa" w:w="2304"/>
            <w:shd w:fill="F5F3FF" w:val="clear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1F2037"/>
                <w:sz w:val="20"/>
              </w:rPr>
              <w:t>1.6x avg</w:t>
            </w:r>
          </w:p>
        </w:tc>
      </w:tr>
      <w:tr>
        <w:tc>
          <w:tcPr>
            <w:tcW w:type="dxa" w:w="4608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1F2037"/>
                <w:sz w:val="20"/>
              </w:rPr>
              <w:t>Makeup Artist  ↔  Model</w:t>
            </w:r>
          </w:p>
        </w:tc>
        <w:tc>
          <w:tcPr>
            <w:tcW w:type="dxa" w:w="2016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1F2037"/>
                <w:sz w:val="20"/>
              </w:rPr>
              <w:t>29</w:t>
            </w:r>
          </w:p>
        </w:tc>
        <w:tc>
          <w:tcPr>
            <w:tcW w:type="dxa" w:w="2304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color w:val="1F2037"/>
                <w:sz w:val="20"/>
              </w:rPr>
              <w:t>1.4x avg</w:t>
            </w:r>
          </w:p>
        </w:tc>
      </w:tr>
    </w:tbl>
    <w:p/>
    <w:p>
      <w:pPr>
        <w:spacing w:before="480" w:after="240"/>
        <w:pBdr>
          <w:bottom w:val="single" w:sz="8" w:color="7C3AED" w:space="4"/>
        </w:pBdr>
      </w:pPr>
      <w:r>
        <w:rPr>
          <w:rFonts w:ascii="Calibri" w:hAnsi="Calibri"/>
          <w:b/>
          <w:color w:val="7C3AED"/>
          <w:sz w:val="32"/>
        </w:rPr>
        <w:t>Audience Retention</w:t>
      </w:r>
    </w:p>
    <w:p>
      <w:pPr>
        <w:spacing w:after="320" w:before="0"/>
      </w:pPr>
      <w:r>
        <w:rPr>
          <w:rFonts w:ascii="Calibri" w:hAnsi="Calibri"/>
          <w:b w:val="0"/>
          <w:color w:val="1F2037"/>
          <w:sz w:val="22"/>
        </w:rPr>
        <w:t>35.5% of attendees (82 people) have attended a previous Industry Night event. Repeat attendees have attended an average of 2.8 events. This indicates a loyal, engaged community — not one-time curiosity seekers.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C3AED"/>
                <w:sz w:val="56"/>
              </w:rPr>
              <w:t>82</w:t>
            </w:r>
          </w:p>
        </w:tc>
        <w:tc>
          <w:tcPr>
            <w:tcW w:type="dxa" w:w="234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C3AED"/>
                <w:sz w:val="56"/>
              </w:rPr>
              <w:t>35.5%</w:t>
            </w:r>
          </w:p>
        </w:tc>
        <w:tc>
          <w:tcPr>
            <w:tcW w:type="dxa" w:w="234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C3AED"/>
                <w:sz w:val="56"/>
              </w:rPr>
              <w:t>149</w:t>
            </w:r>
          </w:p>
        </w:tc>
        <w:tc>
          <w:tcPr>
            <w:tcW w:type="dxa" w:w="234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C3AED"/>
                <w:sz w:val="56"/>
              </w:rPr>
              <w:t>2.8</w:t>
            </w:r>
          </w:p>
        </w:tc>
      </w:tr>
      <w:tr>
        <w:tc>
          <w:tcPr>
            <w:tcW w:type="dxa" w:w="234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8"/>
              </w:rPr>
              <w:t>Repeat Attendees</w:t>
            </w:r>
          </w:p>
        </w:tc>
        <w:tc>
          <w:tcPr>
            <w:tcW w:type="dxa" w:w="234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8"/>
              </w:rPr>
              <w:t>Return Rate</w:t>
            </w:r>
          </w:p>
        </w:tc>
        <w:tc>
          <w:tcPr>
            <w:tcW w:type="dxa" w:w="234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8"/>
              </w:rPr>
              <w:t>First-Timers</w:t>
            </w:r>
          </w:p>
        </w:tc>
        <w:tc>
          <w:tcPr>
            <w:tcW w:type="dxa" w:w="234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8"/>
              </w:rPr>
              <w:t>Avg Events Attended</w:t>
            </w:r>
          </w:p>
        </w:tc>
      </w:tr>
    </w:tbl>
    <w:p/>
    <w:p>
      <w:pPr>
        <w:spacing w:before="480" w:after="240"/>
        <w:pBdr>
          <w:bottom w:val="single" w:sz="8" w:color="7C3AED" w:space="4"/>
        </w:pBdr>
      </w:pPr>
      <w:r>
        <w:rPr>
          <w:rFonts w:ascii="Calibri" w:hAnsi="Calibri"/>
          <w:b/>
          <w:color w:val="7C3AED"/>
          <w:sz w:val="32"/>
        </w:rPr>
        <w:t>Perk Performance</w:t>
      </w:r>
    </w:p>
    <w:p>
      <w:pPr>
        <w:spacing w:after="320" w:before="0"/>
      </w:pPr>
      <w:r>
        <w:rPr>
          <w:rFonts w:ascii="Calibri" w:hAnsi="Calibri"/>
          <w:b w:val="0"/>
          <w:color w:val="1F2037"/>
          <w:sz w:val="22"/>
        </w:rPr>
        <w:t>Your exclusive perk — "20% Off Professional Line" (code: INOLAPLEX20) — was delivered to all verified attendees through the Industry Night app.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C3AED"/>
                <w:sz w:val="56"/>
              </w:rPr>
              <w:t>142</w:t>
            </w:r>
          </w:p>
        </w:tc>
        <w:tc>
          <w:tcPr>
            <w:tcW w:type="dxa" w:w="234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C3AED"/>
                <w:sz w:val="56"/>
              </w:rPr>
              <w:t>67</w:t>
            </w:r>
          </w:p>
        </w:tc>
        <w:tc>
          <w:tcPr>
            <w:tcW w:type="dxa" w:w="234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C3AED"/>
                <w:sz w:val="56"/>
              </w:rPr>
              <w:t>23</w:t>
            </w:r>
          </w:p>
        </w:tc>
        <w:tc>
          <w:tcPr>
            <w:tcW w:type="dxa" w:w="234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7C3AED"/>
                <w:sz w:val="56"/>
              </w:rPr>
              <w:t>47.2%</w:t>
            </w:r>
          </w:p>
        </w:tc>
      </w:tr>
      <w:tr>
        <w:tc>
          <w:tcPr>
            <w:tcW w:type="dxa" w:w="234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8"/>
              </w:rPr>
              <w:t>Perk Views</w:t>
            </w:r>
          </w:p>
        </w:tc>
        <w:tc>
          <w:tcPr>
            <w:tcW w:type="dxa" w:w="234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8"/>
              </w:rPr>
              <w:t>Code Copies</w:t>
            </w:r>
          </w:p>
        </w:tc>
        <w:tc>
          <w:tcPr>
            <w:tcW w:type="dxa" w:w="234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8"/>
              </w:rPr>
              <w:t>Self-Reported Uses</w:t>
            </w:r>
          </w:p>
        </w:tc>
        <w:tc>
          <w:tcPr>
            <w:tcW w:type="dxa" w:w="2340"/>
            <w:shd w:fill="F5F3FF" w:val="clear"/>
            <w:tcBorders>
              <w:top w:val="single" w:sz="6" w:color="DDD6FE"/>
              <w:bottom w:val="single" w:sz="6" w:color="DDD6FE"/>
              <w:left w:val="single" w:sz="6" w:color="DDD6FE"/>
              <w:right w:val="single" w:sz="6" w:color="DDD6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8"/>
              </w:rPr>
              <w:t>Engagement Rate</w:t>
            </w:r>
          </w:p>
        </w:tc>
      </w:tr>
    </w:tbl>
    <w:p>
      <w:pPr>
        <w:spacing w:after="160" w:before="0"/>
      </w:pPr>
      <w:r>
        <w:rPr>
          <w:rFonts w:ascii="Calibri" w:hAnsi="Calibri"/>
          <w:b w:val="0"/>
          <w:color w:val="1F2037"/>
          <w:sz w:val="22"/>
        </w:rPr>
      </w:r>
    </w:p>
    <w:p>
      <w:pPr>
        <w:spacing w:after="320" w:before="0"/>
      </w:pPr>
      <w:r>
        <w:rPr>
          <w:rFonts w:ascii="Calibri" w:hAnsi="Calibri"/>
          <w:b w:val="0"/>
          <w:color w:val="6B7280"/>
          <w:sz w:val="20"/>
        </w:rPr>
        <w:t>Engagement rate represents the percentage of viewers who copied the discount code. Self-reported usage tracks attendees who confirmed they redeemed the offer. We recommend comparing these figures against your POS data for code "INOLAPLEX20" to calibrate attribution.</w:t>
      </w:r>
    </w:p>
    <w:p>
      <w:pPr>
        <w:spacing w:before="480" w:after="240"/>
        <w:pBdr>
          <w:bottom w:val="single" w:sz="8" w:color="7C3AED" w:space="4"/>
        </w:pBdr>
      </w:pPr>
      <w:r>
        <w:rPr>
          <w:rFonts w:ascii="Calibri" w:hAnsi="Calibri"/>
          <w:b/>
          <w:color w:val="7C3AED"/>
          <w:sz w:val="32"/>
        </w:rPr>
        <w:t>What This Means for Your Brand</w:t>
      </w:r>
    </w:p>
    <w:p>
      <w:pPr>
        <w:spacing w:after="240" w:before="0"/>
      </w:pPr>
      <w:r>
        <w:rPr>
          <w:rFonts w:ascii="Calibri" w:hAnsi="Calibri"/>
          <w:b w:val="0"/>
          <w:color w:val="1F2037"/>
          <w:sz w:val="22"/>
        </w:rPr>
        <w:t>Your sponsorship of Industry Night NYC — April 2026 placed your brand directly in front of 247 verified creative professionals — with hair stylists and makeup artists comprising over 60% of the audience. These are active, networking professionals who showed up, checked in, and made real connections.</w:t>
      </w:r>
    </w:p>
    <w:p>
      <w:pPr>
        <w:spacing w:after="240" w:before="0"/>
      </w:pPr>
      <w:r>
        <w:rPr>
          <w:rFonts w:ascii="Calibri" w:hAnsi="Calibri"/>
          <w:b w:val="0"/>
          <w:color w:val="1F2037"/>
          <w:sz w:val="22"/>
        </w:rPr>
        <w:t>The 67% cross-specialty connection rate means attendees are building diverse professional networks, not just connecting within their own discipline. This suggests strong word-of-mouth potential — a recommendation from a hair stylist to their photographer connection carries professional credibility.</w:t>
      </w:r>
    </w:p>
    <w:p>
      <w:pPr>
        <w:spacing w:after="480" w:before="0"/>
      </w:pPr>
      <w:r>
        <w:rPr>
          <w:rFonts w:ascii="Calibri" w:hAnsi="Calibri"/>
          <w:b w:val="0"/>
          <w:color w:val="1F2037"/>
          <w:sz w:val="22"/>
        </w:rPr>
        <w:t>With a 35.5% repeat attendance rate, your continued sponsorship builds cumulative brand recognition with a loyal community that returns month after month.</w:t>
      </w:r>
    </w:p>
    <w:p>
      <w:pPr>
        <w:pBdr>
          <w:top w:val="single" w:sz="4" w:color="DDD6FE" w:space="4"/>
        </w:pBdr>
      </w:pPr>
    </w:p>
    <w:p>
      <w:pPr>
        <w:spacing w:after="80" w:before="0"/>
        <w:jc w:val="center"/>
      </w:pPr>
      <w:r>
        <w:rPr>
          <w:rFonts w:ascii="Calibri" w:hAnsi="Calibri"/>
          <w:b w:val="0"/>
          <w:color w:val="6B7280"/>
          <w:sz w:val="18"/>
        </w:rPr>
        <w:t>This report was generated by Industry Night. Data reflects verified, in-person attendance and networking activity. No personally identifiable information is included. All metrics are aggregated from anonymized platform data.</w:t>
      </w:r>
    </w:p>
    <w:p>
      <w:pPr>
        <w:spacing w:after="0" w:before="0"/>
        <w:jc w:val="center"/>
      </w:pPr>
      <w:r>
        <w:rPr>
          <w:rFonts w:ascii="Calibri" w:hAnsi="Calibri"/>
          <w:b w:val="0"/>
          <w:color w:val="7C3AED"/>
          <w:sz w:val="18"/>
        </w:rPr>
        <w:t>industrynight.net  |  sponsors@industrynight.net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0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