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80" w:before="0"/>
        <w:jc w:val="center"/>
      </w:pPr>
      <w:r>
        <w:rPr>
          <w:b/>
          <w:color w:val="1A1A2E"/>
          <w:sz w:val="64"/>
        </w:rPr>
        <w:t>Industry Night</w:t>
      </w:r>
    </w:p>
    <w:p>
      <w:pPr>
        <w:spacing w:after="480" w:before="0"/>
        <w:jc w:val="center"/>
      </w:pPr>
      <w:r>
        <w:rPr>
          <w:b/>
          <w:color w:val="4A4A8A"/>
          <w:sz w:val="44"/>
        </w:rPr>
        <w:t>Patentability &amp; Market Analysis</w:t>
      </w:r>
    </w:p>
    <w:p>
      <w:pPr>
        <w:spacing w:after="960" w:before="0"/>
        <w:jc w:val="center"/>
      </w:pPr>
      <w:r>
        <w:rPr>
          <w:b w:val="0"/>
          <w:color w:val="666666"/>
          <w:sz w:val="24"/>
        </w:rPr>
        <w:t>Prior Art Search  |  Competitive Landscape  |  Adjacent Verticals</w:t>
      </w:r>
    </w:p>
    <w:p>
      <w:pPr>
        <w:spacing w:after="120" w:before="0"/>
        <w:jc w:val="center"/>
      </w:pPr>
      <w:r>
        <w:rPr>
          <w:b w:val="0"/>
          <w:color w:val="999999"/>
          <w:sz w:val="22"/>
        </w:rPr>
        <w:t>Prepared: March 02, 2026</w:t>
      </w:r>
    </w:p>
    <w:p>
      <w:pPr>
        <w:spacing w:after="120" w:before="0"/>
        <w:jc w:val="center"/>
      </w:pPr>
      <w:r>
        <w:rPr>
          <w:b w:val="0"/>
          <w:color w:val="CC4444"/>
          <w:sz w:val="20"/>
        </w:rPr>
        <w:t>Confidential — For Internal Use Only</w:t>
      </w:r>
    </w:p>
    <w:p>
      <w:pPr>
        <w:spacing w:after="120" w:before="480"/>
        <w:jc w:val="center"/>
      </w:pPr>
      <w:r>
        <w:rPr>
          <w:b w:val="0"/>
          <w:color w:val="999999"/>
          <w:sz w:val="18"/>
        </w:rPr>
        <w:t>DISCLAIMER: This document is not legal advice. A patent attorney should be consulted for formal patentability opinions and filing.</w:t>
      </w:r>
    </w:p>
    <w:p>
      <w:r>
        <w:br w:type="page"/>
      </w:r>
    </w:p>
    <w:p>
      <w:pPr>
        <w:pStyle w:val="Heading1"/>
      </w:pPr>
      <w:r>
        <w:t>Table of Contents</w:t>
      </w:r>
    </w:p>
    <w:p>
      <w:pPr>
        <w:spacing w:after="40" w:before="240"/>
      </w:pPr>
      <w:r>
        <w:rPr>
          <w:b/>
          <w:color w:val="1A1A2E"/>
          <w:sz w:val="22"/>
        </w:rPr>
        <w:t>Part 1: Prior Art Search</w:t>
      </w:r>
    </w:p>
    <w:p>
      <w:pPr>
        <w:spacing w:after="40"/>
      </w:pPr>
      <w:r>
        <w:rPr>
          <w:b w:val="0"/>
          <w:color w:val="555555"/>
          <w:sz w:val="20"/>
        </w:rPr>
        <w:t xml:space="preserve">  1.1 QR-Based Social Networking Patents</w:t>
      </w:r>
    </w:p>
    <w:p>
      <w:pPr>
        <w:spacing w:after="40"/>
      </w:pPr>
      <w:r>
        <w:rPr>
          <w:b w:val="0"/>
          <w:color w:val="555555"/>
          <w:sz w:val="20"/>
        </w:rPr>
        <w:t xml:space="preserve">  1.2 Proximity-Based Social Networking Patents</w:t>
      </w:r>
    </w:p>
    <w:p>
      <w:pPr>
        <w:spacing w:after="40"/>
      </w:pPr>
      <w:r>
        <w:rPr>
          <w:b w:val="0"/>
          <w:color w:val="555555"/>
          <w:sz w:val="20"/>
        </w:rPr>
        <w:t xml:space="preserve">  1.3 Behavioral Verification &amp; Feature Gating Patents</w:t>
      </w:r>
    </w:p>
    <w:p>
      <w:pPr>
        <w:spacing w:after="40"/>
      </w:pPr>
      <w:r>
        <w:rPr>
          <w:b w:val="0"/>
          <w:color w:val="555555"/>
          <w:sz w:val="20"/>
        </w:rPr>
        <w:t xml:space="preserve">  1.4 Colocation &amp; Physical Co-Presence Patents</w:t>
      </w:r>
    </w:p>
    <w:p>
      <w:pPr>
        <w:spacing w:after="40"/>
      </w:pPr>
      <w:r>
        <w:rPr>
          <w:b w:val="0"/>
          <w:color w:val="555555"/>
          <w:sz w:val="20"/>
        </w:rPr>
        <w:t xml:space="preserve">  1.5 Audience Intelligence &amp; Event Analytics Patents</w:t>
      </w:r>
    </w:p>
    <w:p>
      <w:pPr>
        <w:spacing w:after="40"/>
      </w:pPr>
      <w:r>
        <w:rPr>
          <w:b w:val="0"/>
          <w:color w:val="555555"/>
          <w:sz w:val="20"/>
        </w:rPr>
        <w:t xml:space="preserve">  1.6 Prior Art Summary &amp; White Space Analysis</w:t>
      </w:r>
    </w:p>
    <w:p>
      <w:pPr>
        <w:spacing w:after="40" w:before="240"/>
      </w:pPr>
      <w:r>
        <w:rPr>
          <w:b/>
          <w:color w:val="1A1A2E"/>
          <w:sz w:val="22"/>
        </w:rPr>
        <w:t>Part 2: Competitive Landscape</w:t>
      </w:r>
    </w:p>
    <w:p>
      <w:pPr>
        <w:spacing w:after="40"/>
      </w:pPr>
      <w:r>
        <w:rPr>
          <w:b w:val="0"/>
          <w:color w:val="555555"/>
          <w:sz w:val="20"/>
        </w:rPr>
        <w:t xml:space="preserve">  2.1 Event Networking Platforms</w:t>
      </w:r>
    </w:p>
    <w:p>
      <w:pPr>
        <w:spacing w:after="40"/>
      </w:pPr>
      <w:r>
        <w:rPr>
          <w:b w:val="0"/>
          <w:color w:val="555555"/>
          <w:sz w:val="20"/>
        </w:rPr>
        <w:t xml:space="preserve">  2.2 Digital Business Card / QR Contact Apps</w:t>
      </w:r>
    </w:p>
    <w:p>
      <w:pPr>
        <w:spacing w:after="40"/>
      </w:pPr>
      <w:r>
        <w:rPr>
          <w:b w:val="0"/>
          <w:color w:val="555555"/>
          <w:sz w:val="20"/>
        </w:rPr>
        <w:t xml:space="preserve">  2.3 Creative Professional Platforms</w:t>
      </w:r>
    </w:p>
    <w:p>
      <w:pPr>
        <w:spacing w:after="40"/>
      </w:pPr>
      <w:r>
        <w:rPr>
          <w:b w:val="0"/>
          <w:color w:val="555555"/>
          <w:sz w:val="20"/>
        </w:rPr>
        <w:t xml:space="preserve">  2.4 Professional Matching Apps</w:t>
      </w:r>
    </w:p>
    <w:p>
      <w:pPr>
        <w:spacing w:after="40"/>
      </w:pPr>
      <w:r>
        <w:rPr>
          <w:b w:val="0"/>
          <w:color w:val="555555"/>
          <w:sz w:val="20"/>
        </w:rPr>
        <w:t xml:space="preserve">  2.5 Competitive Positioning Matrix</w:t>
      </w:r>
    </w:p>
    <w:p>
      <w:pPr>
        <w:spacing w:after="40" w:before="240"/>
      </w:pPr>
      <w:r>
        <w:rPr>
          <w:b/>
          <w:color w:val="1A1A2E"/>
          <w:sz w:val="22"/>
        </w:rPr>
        <w:t>Part 3: Adjacent Verticals</w:t>
      </w:r>
    </w:p>
    <w:p>
      <w:pPr>
        <w:spacing w:after="40"/>
      </w:pPr>
      <w:r>
        <w:rPr>
          <w:b w:val="0"/>
          <w:color w:val="555555"/>
          <w:sz w:val="20"/>
        </w:rPr>
        <w:t xml:space="preserve">  3.1 Vertical Analysis Framework</w:t>
      </w:r>
    </w:p>
    <w:p>
      <w:pPr>
        <w:spacing w:after="40"/>
      </w:pPr>
      <w:r>
        <w:rPr>
          <w:b w:val="0"/>
          <w:color w:val="555555"/>
          <w:sz w:val="20"/>
        </w:rPr>
        <w:t xml:space="preserve">  3.2 High-Affinity Verticals</w:t>
      </w:r>
    </w:p>
    <w:p>
      <w:pPr>
        <w:spacing w:after="40"/>
      </w:pPr>
      <w:r>
        <w:rPr>
          <w:b w:val="0"/>
          <w:color w:val="555555"/>
          <w:sz w:val="20"/>
        </w:rPr>
        <w:t xml:space="preserve">  3.3 Medium-Affinity Verticals</w:t>
      </w:r>
    </w:p>
    <w:p>
      <w:pPr>
        <w:spacing w:after="40"/>
      </w:pPr>
      <w:r>
        <w:rPr>
          <w:b w:val="0"/>
          <w:color w:val="555555"/>
          <w:sz w:val="20"/>
        </w:rPr>
        <w:t xml:space="preserve">  3.4 Emerging / Speculative Verticals</w:t>
      </w:r>
    </w:p>
    <w:p>
      <w:pPr>
        <w:spacing w:after="40"/>
      </w:pPr>
      <w:r>
        <w:rPr>
          <w:b w:val="0"/>
          <w:color w:val="555555"/>
          <w:sz w:val="20"/>
        </w:rPr>
        <w:t xml:space="preserve">  3.5 Vertical Prioritization Matrix</w:t>
      </w:r>
    </w:p>
    <w:p>
      <w:pPr>
        <w:spacing w:after="40" w:before="240"/>
      </w:pPr>
      <w:r>
        <w:rPr>
          <w:b/>
          <w:color w:val="1A1A2E"/>
          <w:sz w:val="22"/>
        </w:rPr>
        <w:t>Part 4: Strategic Conclusions</w:t>
      </w:r>
    </w:p>
    <w:p>
      <w:r>
        <w:br w:type="page"/>
      </w:r>
    </w:p>
    <w:p>
      <w:pPr>
        <w:pStyle w:val="Heading1"/>
      </w:pPr>
      <w:r>
        <w:t>Part 1: Prior Art Search</w:t>
      </w:r>
    </w:p>
    <w:p>
      <w:pPr>
        <w:spacing w:after="240" w:before="0"/>
      </w:pPr>
      <w:r>
        <w:rPr>
          <w:b w:val="0"/>
        </w:rPr>
        <w:t>This section surveys issued patents and published applications relevant to Industry Night's core methodology: event-first, proximity-verified professional networking with behavioral verification, QR-based graph creation, and derivable audience intelligence. The goal is to identify freedom-to-operate risks and patentable white space.</w:t>
      </w:r>
    </w:p>
    <w:p>
      <w:pPr>
        <w:pStyle w:val="Heading2"/>
      </w:pPr>
      <w:r>
        <w:t>1.1 QR-Based Social Networking Patents</w:t>
      </w:r>
    </w:p>
    <w:p>
      <w:pPr>
        <w:spacing w:after="80" w:before="0"/>
      </w:pPr>
      <w:r>
        <w:rPr>
          <w:b/>
        </w:rPr>
        <w:t>US20130043302A1 — "Social Media Platforms" (Filed ~2012, Application)</w:t>
      </w:r>
    </w:p>
    <w:p>
      <w:pPr>
        <w:spacing w:after="80" w:before="0"/>
      </w:pPr>
      <w:r>
        <w:rPr>
          <w:b w:val="0"/>
        </w:rPr>
        <w:t>This application describes QR codes for facilitating social interactions at events. QR codes encode user contact information or webpage URLs. A service provider interprets a QR code scan as indication that two users actually met due to the scan, and this is used to establish connections among users at a venue. The system can count users at a venue, establish connections, and provide additional information based on the scan.</w:t>
      </w:r>
    </w:p>
    <w:p>
      <w:pPr>
        <w:spacing w:after="240" w:before="0"/>
      </w:pPr>
      <w:r>
        <w:rPr>
          <w:b w:val="0"/>
          <w:color w:val="CC4444"/>
        </w:rPr>
        <w:t>Relevance to IN: HIGH. This is the most directly relevant prior art discovered. It describes QR scanning at events to establish connections and infer physical meeting. However, it focuses on QR as one of many event management tools — it does not describe QR as the exclusive graph-creation mechanism, behavioral verification ladders, or the derivation of cross-specialty audience intelligence from the resulting graph.</w:t>
      </w:r>
    </w:p>
    <w:p>
      <w:pPr>
        <w:spacing w:after="80" w:before="0"/>
      </w:pPr>
      <w:r>
        <w:rPr>
          <w:b/>
        </w:rPr>
        <w:t>US9,953,311 — "Systems and Methods for Incorporating QR Codes" (Granted 2018)</w:t>
      </w:r>
    </w:p>
    <w:p>
      <w:pPr>
        <w:spacing w:after="80" w:before="0"/>
      </w:pPr>
      <w:r>
        <w:rPr>
          <w:b w:val="0"/>
        </w:rPr>
        <w:t>Covers QR codes in payment/transaction contexts. Describes scanning QR codes to facilitate payment transactions using cryptographic methods. Not directly relevant to social networking, but establishes QR code scanning as a well-known data exchange mechanism.</w:t>
      </w:r>
    </w:p>
    <w:p>
      <w:pPr>
        <w:spacing w:after="240" w:before="0"/>
      </w:pPr>
      <w:r>
        <w:rPr>
          <w:b w:val="0"/>
          <w:color w:val="448844"/>
        </w:rPr>
        <w:t>Relevance to IN: LOW. Payment-focused, but reinforces that QR scanning itself is not novel.</w:t>
      </w:r>
    </w:p>
    <w:p>
      <w:pPr>
        <w:pStyle w:val="Heading2"/>
      </w:pPr>
      <w:r>
        <w:t>1.2 Proximity-Based Social Networking Patents</w:t>
      </w:r>
    </w:p>
    <w:p>
      <w:pPr>
        <w:spacing w:after="80" w:before="0"/>
      </w:pPr>
      <w:r>
        <w:rPr>
          <w:b/>
        </w:rPr>
        <w:t>US9,560,505B2 — "Proximity Based Social Networking" (Granted 2017, Radeum Inc.)</w:t>
      </w:r>
    </w:p>
    <w:p>
      <w:pPr>
        <w:spacing w:after="80" w:before="0"/>
      </w:pPr>
      <w:r>
        <w:rPr>
          <w:b w:val="0"/>
        </w:rPr>
        <w:t>Describes proximity-based social networking between mobile devices using near-field magnetic induction (NFMI) with multiple antennas for diversity. The system enables social connections based on physical proximity detection through short-range communication hardware.</w:t>
      </w:r>
    </w:p>
    <w:p>
      <w:pPr>
        <w:spacing w:after="240" w:before="0"/>
      </w:pPr>
      <w:r>
        <w:rPr>
          <w:b w:val="0"/>
          <w:color w:val="CC8800"/>
        </w:rPr>
        <w:t>Relevance to IN: MEDIUM. Covers proximity-based connection creation, but via NFMI hardware, not QR scanning. The proximity detection mechanism is fundamentally different (automatic radio-based vs. intentional QR scan). IN's model requires deliberate user action (scanning), which carries different trust implications.</w:t>
      </w:r>
    </w:p>
    <w:p>
      <w:pPr>
        <w:spacing w:after="80" w:before="0"/>
      </w:pPr>
      <w:r>
        <w:rPr>
          <w:b/>
        </w:rPr>
        <w:t>US20110238755A1 — "Proximity-Based Social Networking" (Filed 2011, Abandoned)</w:t>
      </w:r>
    </w:p>
    <w:p>
      <w:pPr>
        <w:spacing w:after="80" w:before="0"/>
      </w:pPr>
      <w:r>
        <w:rPr>
          <w:b w:val="0"/>
        </w:rPr>
        <w:t>Filed by Proximate Global, describes a Proximity-Based Social Networking Facilitator System (PSN) that provides users with relevant information based on their proximity to other users of their social networks. Uses GPS and other location technologies to determine proximity while maintaining location privacy.</w:t>
      </w:r>
    </w:p>
    <w:p>
      <w:pPr>
        <w:spacing w:after="240" w:before="0"/>
      </w:pPr>
      <w:r>
        <w:rPr>
          <w:b w:val="0"/>
          <w:color w:val="448844"/>
        </w:rPr>
        <w:t>Relevance to IN: LOW-MEDIUM. Abandoned application. Focused on passive location detection (GPS), not active scanning. Does not describe event-bound connections or verification ladders. The abandonment suggests the claims were either too broad or insufficiently novel to prosecute.</w:t>
      </w:r>
    </w:p>
    <w:p>
      <w:pPr>
        <w:spacing w:after="80" w:before="0"/>
      </w:pPr>
      <w:r>
        <w:rPr>
          <w:b/>
        </w:rPr>
        <w:t>US20130006749A1 — "Proximity Based Social Networking Systems and Methods" (Filed 2012)</w:t>
      </w:r>
    </w:p>
    <w:p>
      <w:pPr>
        <w:spacing w:after="80" w:before="0"/>
      </w:pPr>
      <w:r>
        <w:rPr>
          <w:b w:val="0"/>
        </w:rPr>
        <w:t>Another proximity-based social networking application, extending the concept of using wireless communication to detect nearby users and facilitate connections.</w:t>
      </w:r>
    </w:p>
    <w:p>
      <w:pPr>
        <w:spacing w:after="240" w:before="0"/>
      </w:pPr>
      <w:r>
        <w:rPr>
          <w:b w:val="0"/>
          <w:color w:val="448844"/>
        </w:rPr>
        <w:t>Relevance to IN: LOW-MEDIUM. Same general space but uses automatic proximity detection rather than intentional QR-based connection creation.</w:t>
      </w:r>
    </w:p>
    <w:p>
      <w:pPr>
        <w:pStyle w:val="Heading2"/>
      </w:pPr>
      <w:r>
        <w:t>1.3 Behavioral Verification &amp; Feature Gating Patents</w:t>
      </w:r>
    </w:p>
    <w:p>
      <w:pPr>
        <w:spacing w:after="80" w:before="0"/>
      </w:pPr>
      <w:r>
        <w:rPr>
          <w:b/>
        </w:rPr>
        <w:t>US20130151617A1 — "Behavioral Fingerprinting via Social Network Verification"</w:t>
      </w:r>
    </w:p>
    <w:p>
      <w:pPr>
        <w:spacing w:after="80" w:before="0"/>
      </w:pPr>
      <w:r>
        <w:rPr>
          <w:b w:val="0"/>
        </w:rPr>
        <w:t>Describes behavioral fingerprinting where devices detect attempts to perform tasks and initiate verification inquiries to social network connections. Uses social graph validation as a behavioral identity check.</w:t>
      </w:r>
    </w:p>
    <w:p>
      <w:pPr>
        <w:spacing w:after="240" w:before="0"/>
      </w:pPr>
      <w:r>
        <w:rPr>
          <w:b w:val="0"/>
          <w:color w:val="448844"/>
        </w:rPr>
        <w:t>Relevance to IN: LOW. Behavioral verification here means identity verification through social contacts, not progressive feature unlocking through real-world attendance and networking actions.</w:t>
      </w:r>
    </w:p>
    <w:p>
      <w:pPr>
        <w:spacing w:after="80" w:before="0"/>
      </w:pPr>
      <w:r>
        <w:rPr>
          <w:b/>
        </w:rPr>
        <w:t>US8,850,536B2 — "Methods and Systems for Identity Verification Using Ratings" (Granted)</w:t>
      </w:r>
    </w:p>
    <w:p>
      <w:pPr>
        <w:spacing w:after="80" w:before="0"/>
      </w:pPr>
      <w:r>
        <w:rPr>
          <w:b w:val="0"/>
        </w:rPr>
        <w:t>Describes a dynamic session identity rating that moves up or down based on how the user gained access, what verification steps were employed, and the user's behavior. Creates a confidence score for identity claims.</w:t>
      </w:r>
    </w:p>
    <w:p>
      <w:pPr>
        <w:spacing w:after="240" w:before="0"/>
      </w:pPr>
      <w:r>
        <w:rPr>
          <w:b w:val="0"/>
          <w:color w:val="CC8800"/>
        </w:rPr>
        <w:t>Relevance to IN: MEDIUM. The concept of a dynamic trust score based on behavior is related to IN's verification ladder. However, this patent focuses on identity confidence (is this person who they claim to be?), not behavioral feature gating (unlock features by attending events and making connections). The underlying purpose is fundamentally different.</w:t>
      </w:r>
    </w:p>
    <w:p>
      <w:pPr>
        <w:pStyle w:val="Heading2"/>
      </w:pPr>
      <w:r>
        <w:t>1.4 Colocation &amp; Physical Co-Presence Patents</w:t>
      </w:r>
    </w:p>
    <w:p>
      <w:pPr>
        <w:spacing w:after="80" w:before="0"/>
      </w:pPr>
      <w:r>
        <w:rPr>
          <w:b/>
        </w:rPr>
        <w:t>Facebook/Meta Colocation Patents (Multiple, ~2011-2013)</w:t>
      </w:r>
    </w:p>
    <w:p>
      <w:pPr>
        <w:spacing w:after="80" w:before="0"/>
      </w:pPr>
      <w:r>
        <w:rPr>
          <w:b w:val="0"/>
        </w:rPr>
        <w:t>Facebook filed multiple patents covering methods to determine that two users are physically co-located: GPS within 100 feet, attending the same event, Bluetooth/NFC device interaction, and audio fingerprinting to match ambient sound. These signals are used to suggest social connections, recommend events, and enrich the social graph. Associations inferred from colocation can recommend potential connections and events to users.</w:t>
      </w:r>
    </w:p>
    <w:p>
      <w:pPr>
        <w:spacing w:after="240" w:before="0"/>
      </w:pPr>
      <w:r>
        <w:rPr>
          <w:b w:val="0"/>
          <w:color w:val="CC4444"/>
        </w:rPr>
        <w:t>Relevance to IN: HIGH for concept, LOW for mechanism. Facebook's patents cover passive, automatic co-presence detection used to suggest connections. IN uses active, intentional QR scanning as the sole connection mechanism. The key distinction: Facebook infers "you were probably near this person" while IN proves "these two people deliberately chose to connect at this specific event." The intentionality and exclusivity of QR as the only graph-creation path is not covered by these patents.</w:t>
      </w:r>
    </w:p>
    <w:p>
      <w:pPr>
        <w:spacing w:after="80" w:before="0"/>
      </w:pPr>
      <w:r>
        <w:rPr>
          <w:b/>
        </w:rPr>
        <w:t>Apple Proximity Data Exchange Patents (Multiple, ~2011-2017)</w:t>
      </w:r>
    </w:p>
    <w:p>
      <w:pPr>
        <w:spacing w:after="80" w:before="0"/>
      </w:pPr>
      <w:r>
        <w:rPr>
          <w:b w:val="0"/>
        </w:rPr>
        <w:t>Apple holds patents on gesture-based data exchange between proximate devices (from the acquired Bump technology). A "greeting event" (handshake, fist bump) activates a data-sharing process between nearby devices. These patents cover the physical gesture as a trigger for data exchange, not social graph creation.</w:t>
      </w:r>
    </w:p>
    <w:p>
      <w:pPr>
        <w:spacing w:after="240" w:before="0"/>
      </w:pPr>
      <w:r>
        <w:rPr>
          <w:b w:val="0"/>
          <w:color w:val="448844"/>
        </w:rPr>
        <w:t>Relevance to IN: LOW. These cover hardware-level data exchange triggered by physical gestures, not social graph construction at events with event-bound metadata.</w:t>
      </w:r>
    </w:p>
    <w:p>
      <w:pPr>
        <w:pStyle w:val="Heading2"/>
      </w:pPr>
      <w:r>
        <w:t>1.5 Audience Intelligence &amp; Event Analytics Patents</w:t>
      </w:r>
    </w:p>
    <w:p>
      <w:pPr>
        <w:spacing w:after="80" w:before="0"/>
      </w:pPr>
      <w:r>
        <w:rPr>
          <w:b/>
        </w:rPr>
        <w:t>US9,990,679 — "Implicit Social Graph Connections" (Granted 2018)</w:t>
      </w:r>
    </w:p>
    <w:p>
      <w:pPr>
        <w:spacing w:after="80" w:before="0"/>
      </w:pPr>
      <w:r>
        <w:rPr>
          <w:b w:val="0"/>
        </w:rPr>
        <w:t>Describes generating implicit social graph connections from recorded user interactions. The system calculates edge weights representing the quantitative likelihood that a user may later make an explicit connection. These implicit connections are used to personalize content, advertisements, and news feed stories.</w:t>
      </w:r>
    </w:p>
    <w:p>
      <w:pPr>
        <w:spacing w:after="240" w:before="0"/>
      </w:pPr>
      <w:r>
        <w:rPr>
          <w:b w:val="0"/>
          <w:color w:val="448844"/>
        </w:rPr>
        <w:t>Relevance to IN: LOW. Covers inferring connections from behavior, whereas IN only creates connections through explicit QR scanning. The audience intelligence derivation (cross-specialty affinity, influence scores) is downstream of explicit connections, not inferred ones.</w:t>
      </w:r>
    </w:p>
    <w:p>
      <w:pPr>
        <w:spacing w:after="80" w:before="0"/>
      </w:pPr>
      <w:r>
        <w:rPr>
          <w:b/>
        </w:rPr>
        <w:t>US10,176,609B2 — "Analysis and Visualization of Interaction and Influence in a Network" (Granted)</w:t>
      </w:r>
    </w:p>
    <w:p>
      <w:pPr>
        <w:spacing w:after="80" w:before="0"/>
      </w:pPr>
      <w:r>
        <w:rPr>
          <w:b w:val="0"/>
        </w:rPr>
        <w:t>Covers methods for analyzing and visualizing interaction patterns and influence metrics within a network. Relevant to the concept of influence scoring.</w:t>
      </w:r>
    </w:p>
    <w:p>
      <w:pPr>
        <w:spacing w:after="240" w:before="0"/>
      </w:pPr>
      <w:r>
        <w:rPr>
          <w:b w:val="0"/>
          <w:color w:val="CC8800"/>
        </w:rPr>
        <w:t>Relevance to IN: MEDIUM. IN's planned influence scoring (connection_count, events_attended, network_reach, specialty_rank) could overlap with general network influence analysis claims. A patent attorney should review the specific claims to assess freedom-to-operate.</w:t>
      </w:r>
    </w:p>
    <w:p>
      <w:pPr>
        <w:pStyle w:val="Heading2"/>
      </w:pPr>
      <w:r>
        <w:t>1.6 Prior Art Summary &amp; White Space Analysis</w:t>
      </w:r>
    </w:p>
    <w:p>
      <w:pPr>
        <w:spacing w:after="160" w:before="0"/>
      </w:pPr>
      <w:r>
        <w:rPr>
          <w:b/>
          <w:sz w:val="24"/>
        </w:rPr>
        <w:t>Summary of Prior Art Findings</w:t>
      </w:r>
    </w:p>
    <w:tbl>
      <w:tblPr>
        <w:tblStyle w:val="LightGrid-Accent1"/>
        <w:tblW w:type="auto" w:w="0"/>
        <w:jc w:val="left"/>
        <w:tblLook w:firstColumn="1" w:firstRow="1" w:lastColumn="0" w:lastRow="0" w:noHBand="0" w:noVBand="1" w:val="04A0"/>
      </w:tblPr>
      <w:tblGrid>
        <w:gridCol w:w="3120"/>
        <w:gridCol w:w="3120"/>
        <w:gridCol w:w="3120"/>
      </w:tblGrid>
      <w:tr>
        <w:tc>
          <w:tcPr>
            <w:tcW w:type="dxa" w:w="3600"/>
          </w:tcPr>
          <w:p>
            <w:r/>
            <w:r>
              <w:rPr>
                <w:rFonts w:ascii="Arial" w:hAnsi="Arial"/>
                <w:b/>
                <w:sz w:val="20"/>
              </w:rPr>
              <w:t>Element of IN's Method</w:t>
            </w:r>
          </w:p>
        </w:tc>
        <w:tc>
          <w:tcPr>
            <w:tcW w:type="dxa" w:w="2880"/>
          </w:tcPr>
          <w:p>
            <w:r/>
            <w:r>
              <w:rPr>
                <w:rFonts w:ascii="Arial" w:hAnsi="Arial"/>
                <w:b/>
                <w:sz w:val="20"/>
              </w:rPr>
              <w:t>Prior Art Coverage</w:t>
            </w:r>
          </w:p>
        </w:tc>
        <w:tc>
          <w:tcPr>
            <w:tcW w:type="dxa" w:w="2880"/>
          </w:tcPr>
          <w:p>
            <w:r/>
            <w:r>
              <w:rPr>
                <w:rFonts w:ascii="Arial" w:hAnsi="Arial"/>
                <w:b/>
                <w:sz w:val="20"/>
              </w:rPr>
              <w:t>Assessment</w:t>
            </w:r>
          </w:p>
        </w:tc>
      </w:tr>
      <w:tr>
        <w:tc>
          <w:tcPr>
            <w:tcW w:type="dxa" w:w="3600"/>
          </w:tcPr>
          <w:p>
            <w:r/>
            <w:r>
              <w:rPr>
                <w:rFonts w:ascii="Arial" w:hAnsi="Arial"/>
                <w:sz w:val="20"/>
              </w:rPr>
              <w:t>QR code scanning to create social connections</w:t>
            </w:r>
          </w:p>
        </w:tc>
        <w:tc>
          <w:tcPr>
            <w:tcW w:type="dxa" w:w="2880"/>
          </w:tcPr>
          <w:p>
            <w:r/>
            <w:r>
              <w:rPr>
                <w:rFonts w:ascii="Arial" w:hAnsi="Arial"/>
                <w:sz w:val="20"/>
              </w:rPr>
              <w:t>Covered (US20130043302)</w:t>
            </w:r>
          </w:p>
        </w:tc>
        <w:tc>
          <w:tcPr>
            <w:tcW w:type="dxa" w:w="2880"/>
          </w:tcPr>
          <w:p>
            <w:r/>
            <w:r>
              <w:rPr>
                <w:rFonts w:ascii="Arial" w:hAnsi="Arial"/>
                <w:sz w:val="20"/>
              </w:rPr>
              <w:t>Not novel in isolation</w:t>
            </w:r>
          </w:p>
        </w:tc>
      </w:tr>
      <w:tr>
        <w:tc>
          <w:tcPr>
            <w:tcW w:type="dxa" w:w="3600"/>
          </w:tcPr>
          <w:p>
            <w:r/>
            <w:r>
              <w:rPr>
                <w:rFonts w:ascii="Arial" w:hAnsi="Arial"/>
                <w:sz w:val="20"/>
              </w:rPr>
              <w:t>Proximity-based social networking</w:t>
            </w:r>
          </w:p>
        </w:tc>
        <w:tc>
          <w:tcPr>
            <w:tcW w:type="dxa" w:w="2880"/>
          </w:tcPr>
          <w:p>
            <w:r/>
            <w:r>
              <w:rPr>
                <w:rFonts w:ascii="Arial" w:hAnsi="Arial"/>
                <w:sz w:val="20"/>
              </w:rPr>
              <w:t>Covered (multiple patents)</w:t>
            </w:r>
          </w:p>
        </w:tc>
        <w:tc>
          <w:tcPr>
            <w:tcW w:type="dxa" w:w="2880"/>
          </w:tcPr>
          <w:p>
            <w:r/>
            <w:r>
              <w:rPr>
                <w:rFonts w:ascii="Arial" w:hAnsi="Arial"/>
                <w:sz w:val="20"/>
              </w:rPr>
              <w:t>Not novel in isolation</w:t>
            </w:r>
          </w:p>
        </w:tc>
      </w:tr>
      <w:tr>
        <w:tc>
          <w:tcPr>
            <w:tcW w:type="dxa" w:w="3600"/>
          </w:tcPr>
          <w:p>
            <w:r/>
            <w:r>
              <w:rPr>
                <w:rFonts w:ascii="Arial" w:hAnsi="Arial"/>
                <w:sz w:val="20"/>
              </w:rPr>
              <w:t>Colocation detection for connection suggestion</w:t>
            </w:r>
          </w:p>
        </w:tc>
        <w:tc>
          <w:tcPr>
            <w:tcW w:type="dxa" w:w="2880"/>
          </w:tcPr>
          <w:p>
            <w:r/>
            <w:r>
              <w:rPr>
                <w:rFonts w:ascii="Arial" w:hAnsi="Arial"/>
                <w:sz w:val="20"/>
              </w:rPr>
              <w:t>Covered (Facebook/Meta)</w:t>
            </w:r>
          </w:p>
        </w:tc>
        <w:tc>
          <w:tcPr>
            <w:tcW w:type="dxa" w:w="2880"/>
          </w:tcPr>
          <w:p>
            <w:r/>
            <w:r>
              <w:rPr>
                <w:rFonts w:ascii="Arial" w:hAnsi="Arial"/>
                <w:sz w:val="20"/>
              </w:rPr>
              <w:t>Not novel in isolation</w:t>
            </w:r>
          </w:p>
        </w:tc>
      </w:tr>
      <w:tr>
        <w:tc>
          <w:tcPr>
            <w:tcW w:type="dxa" w:w="3600"/>
          </w:tcPr>
          <w:p>
            <w:r/>
            <w:r>
              <w:rPr>
                <w:rFonts w:ascii="Arial" w:hAnsi="Arial"/>
                <w:sz w:val="20"/>
              </w:rPr>
              <w:t>QR as exclusive graph-creation mechanism</w:t>
            </w:r>
          </w:p>
        </w:tc>
        <w:tc>
          <w:tcPr>
            <w:tcW w:type="dxa" w:w="2880"/>
          </w:tcPr>
          <w:p>
            <w:r/>
            <w:r>
              <w:rPr>
                <w:rFonts w:ascii="Arial" w:hAnsi="Arial"/>
                <w:sz w:val="20"/>
              </w:rPr>
              <w:t>Not found</w:t>
            </w:r>
          </w:p>
        </w:tc>
        <w:tc>
          <w:tcPr>
            <w:tcW w:type="dxa" w:w="2880"/>
          </w:tcPr>
          <w:p>
            <w:r/>
            <w:r>
              <w:rPr>
                <w:rFonts w:ascii="Arial" w:hAnsi="Arial"/>
                <w:sz w:val="20"/>
              </w:rPr>
              <w:t>Potentially novel</w:t>
            </w:r>
          </w:p>
        </w:tc>
      </w:tr>
      <w:tr>
        <w:tc>
          <w:tcPr>
            <w:tcW w:type="dxa" w:w="3600"/>
          </w:tcPr>
          <w:p>
            <w:r/>
            <w:r>
              <w:rPr>
                <w:rFonts w:ascii="Arial" w:hAnsi="Arial"/>
                <w:sz w:val="20"/>
              </w:rPr>
              <w:t>Event-bound connection metadata (event ID, specialties, timestamp on every edge)</w:t>
            </w:r>
          </w:p>
        </w:tc>
        <w:tc>
          <w:tcPr>
            <w:tcW w:type="dxa" w:w="2880"/>
          </w:tcPr>
          <w:p>
            <w:r/>
            <w:r>
              <w:rPr>
                <w:rFonts w:ascii="Arial" w:hAnsi="Arial"/>
                <w:sz w:val="20"/>
              </w:rPr>
              <w:t>Not found as a system</w:t>
            </w:r>
          </w:p>
        </w:tc>
        <w:tc>
          <w:tcPr>
            <w:tcW w:type="dxa" w:w="2880"/>
          </w:tcPr>
          <w:p>
            <w:r/>
            <w:r>
              <w:rPr>
                <w:rFonts w:ascii="Arial" w:hAnsi="Arial"/>
                <w:sz w:val="20"/>
              </w:rPr>
              <w:t>Potentially novel</w:t>
            </w:r>
          </w:p>
        </w:tc>
      </w:tr>
      <w:tr>
        <w:tc>
          <w:tcPr>
            <w:tcW w:type="dxa" w:w="3600"/>
          </w:tcPr>
          <w:p>
            <w:r/>
            <w:r>
              <w:rPr>
                <w:rFonts w:ascii="Arial" w:hAnsi="Arial"/>
                <w:sz w:val="20"/>
              </w:rPr>
              <w:t>Behavioral verification ladder (register → check-in → verified) gating features</w:t>
            </w:r>
          </w:p>
        </w:tc>
        <w:tc>
          <w:tcPr>
            <w:tcW w:type="dxa" w:w="2880"/>
          </w:tcPr>
          <w:p>
            <w:r/>
            <w:r>
              <w:rPr>
                <w:rFonts w:ascii="Arial" w:hAnsi="Arial"/>
                <w:sz w:val="20"/>
              </w:rPr>
              <w:t>Not found</w:t>
            </w:r>
          </w:p>
        </w:tc>
        <w:tc>
          <w:tcPr>
            <w:tcW w:type="dxa" w:w="2880"/>
          </w:tcPr>
          <w:p>
            <w:r/>
            <w:r>
              <w:rPr>
                <w:rFonts w:ascii="Arial" w:hAnsi="Arial"/>
                <w:sz w:val="20"/>
              </w:rPr>
              <w:t>Potentially novel</w:t>
            </w:r>
          </w:p>
        </w:tc>
      </w:tr>
      <w:tr>
        <w:tc>
          <w:tcPr>
            <w:tcW w:type="dxa" w:w="3600"/>
          </w:tcPr>
          <w:p>
            <w:r/>
            <w:r>
              <w:rPr>
                <w:rFonts w:ascii="Arial" w:hAnsi="Arial"/>
                <w:sz w:val="20"/>
              </w:rPr>
              <w:t>Cross-specialty affinity intelligence from proximity-verified graph</w:t>
            </w:r>
          </w:p>
        </w:tc>
        <w:tc>
          <w:tcPr>
            <w:tcW w:type="dxa" w:w="2880"/>
          </w:tcPr>
          <w:p>
            <w:r/>
            <w:r>
              <w:rPr>
                <w:rFonts w:ascii="Arial" w:hAnsi="Arial"/>
                <w:sz w:val="20"/>
              </w:rPr>
              <w:t>Not found</w:t>
            </w:r>
          </w:p>
        </w:tc>
        <w:tc>
          <w:tcPr>
            <w:tcW w:type="dxa" w:w="2880"/>
          </w:tcPr>
          <w:p>
            <w:r/>
            <w:r>
              <w:rPr>
                <w:rFonts w:ascii="Arial" w:hAnsi="Arial"/>
                <w:sz w:val="20"/>
              </w:rPr>
              <w:t>Potentially novel</w:t>
            </w:r>
          </w:p>
        </w:tc>
      </w:tr>
      <w:tr>
        <w:tc>
          <w:tcPr>
            <w:tcW w:type="dxa" w:w="3600"/>
          </w:tcPr>
          <w:p>
            <w:r/>
            <w:r>
              <w:rPr>
                <w:rFonts w:ascii="Arial" w:hAnsi="Arial"/>
                <w:sz w:val="20"/>
              </w:rPr>
              <w:t>Audience intelligence derived exclusively from verified co-presence connections</w:t>
            </w:r>
          </w:p>
        </w:tc>
        <w:tc>
          <w:tcPr>
            <w:tcW w:type="dxa" w:w="2880"/>
          </w:tcPr>
          <w:p>
            <w:r/>
            <w:r>
              <w:rPr>
                <w:rFonts w:ascii="Arial" w:hAnsi="Arial"/>
                <w:sz w:val="20"/>
              </w:rPr>
              <w:t>Not found</w:t>
            </w:r>
          </w:p>
        </w:tc>
        <w:tc>
          <w:tcPr>
            <w:tcW w:type="dxa" w:w="2880"/>
          </w:tcPr>
          <w:p>
            <w:r/>
            <w:r>
              <w:rPr>
                <w:rFonts w:ascii="Arial" w:hAnsi="Arial"/>
                <w:sz w:val="20"/>
              </w:rPr>
              <w:t>Potentially novel</w:t>
            </w:r>
          </w:p>
        </w:tc>
      </w:tr>
      <w:tr>
        <w:tc>
          <w:tcPr>
            <w:tcW w:type="dxa" w:w="3600"/>
          </w:tcPr>
          <w:p>
            <w:r/>
            <w:r>
              <w:rPr>
                <w:rFonts w:ascii="Arial" w:hAnsi="Arial"/>
                <w:sz w:val="20"/>
              </w:rPr>
              <w:t>Managed sponsor channel gated behind behavioral verification</w:t>
            </w:r>
          </w:p>
        </w:tc>
        <w:tc>
          <w:tcPr>
            <w:tcW w:type="dxa" w:w="2880"/>
          </w:tcPr>
          <w:p>
            <w:r/>
            <w:r>
              <w:rPr>
                <w:rFonts w:ascii="Arial" w:hAnsi="Arial"/>
                <w:sz w:val="20"/>
              </w:rPr>
              <w:t>Not found</w:t>
            </w:r>
          </w:p>
        </w:tc>
        <w:tc>
          <w:tcPr>
            <w:tcW w:type="dxa" w:w="2880"/>
          </w:tcPr>
          <w:p>
            <w:r/>
            <w:r>
              <w:rPr>
                <w:rFonts w:ascii="Arial" w:hAnsi="Arial"/>
                <w:sz w:val="20"/>
              </w:rPr>
              <w:t>Potentially novel</w:t>
            </w:r>
          </w:p>
        </w:tc>
      </w:tr>
    </w:tbl>
    <w:p/>
    <w:p>
      <w:pPr>
        <w:spacing w:after="160" w:before="0"/>
      </w:pPr>
      <w:r>
        <w:rPr>
          <w:b/>
          <w:sz w:val="24"/>
        </w:rPr>
        <w:t>Identified White Space</w:t>
      </w:r>
    </w:p>
    <w:p>
      <w:pPr>
        <w:spacing w:after="160" w:before="0"/>
      </w:pPr>
      <w:r>
        <w:rPr>
          <w:b w:val="0"/>
        </w:rPr>
        <w:t>The prior art search reveals that individual components of IN's methodology (QR scanning, proximity networking, event check-in, social graph analysis) are well-covered. However, the integrated system combining all of the following into a single method appears to occupy unclaimed space:</w:t>
      </w:r>
    </w:p>
    <w:p>
      <w:pPr>
        <w:pStyle w:val="ListBullet"/>
      </w:pPr>
      <w:r>
        <w:rPr>
          <w:rFonts w:ascii="Arial" w:hAnsi="Arial"/>
          <w:sz w:val="20"/>
        </w:rPr>
        <w:t>Exclusive graph creation through intentional QR scanning (no follow requests, no digital discovery, no passive detection)</w:t>
      </w:r>
    </w:p>
    <w:p>
      <w:pPr>
        <w:pStyle w:val="ListBullet"/>
      </w:pPr>
      <w:r>
        <w:rPr>
          <w:rFonts w:ascii="Arial" w:hAnsi="Arial"/>
          <w:sz w:val="20"/>
        </w:rPr>
        <w:t>Every graph edge bound to a specific event, pair of professional specialties, and timestamp</w:t>
      </w:r>
    </w:p>
    <w:p>
      <w:pPr>
        <w:pStyle w:val="ListBullet"/>
      </w:pPr>
      <w:r>
        <w:rPr>
          <w:rFonts w:ascii="Arial" w:hAnsi="Arial"/>
          <w:sz w:val="20"/>
        </w:rPr>
        <w:t>A behavioral verification state machine where real-world attendance and networking progressively unlock platform features</w:t>
      </w:r>
    </w:p>
    <w:p>
      <w:pPr>
        <w:pStyle w:val="ListBullet"/>
      </w:pPr>
      <w:r>
        <w:rPr>
          <w:rFonts w:ascii="Arial" w:hAnsi="Arial"/>
          <w:sz w:val="20"/>
        </w:rPr>
        <w:t>Derivation of professional audience intelligence (cross-specialty affinity rates, event-level demographic breakdowns, influence scoring) exclusively from a proximity-verified graph</w:t>
      </w:r>
    </w:p>
    <w:p>
      <w:pPr>
        <w:pStyle w:val="ListBullet"/>
      </w:pPr>
      <w:r>
        <w:rPr>
          <w:rFonts w:ascii="Arial" w:hAnsi="Arial"/>
          <w:sz w:val="20"/>
        </w:rPr>
        <w:t>A managed sponsor access channel gated behind behavioral verification, where sponsors access aggregated audience intelligence but never receive individual user PII</w:t>
      </w:r>
    </w:p>
    <w:p>
      <w:pPr>
        <w:spacing w:after="120" w:before="0"/>
      </w:pPr>
      <w:r>
        <w:rPr>
          <w:b w:val="0"/>
        </w:rPr>
      </w:r>
    </w:p>
    <w:p>
      <w:pPr>
        <w:spacing w:after="160" w:before="0"/>
      </w:pPr>
      <w:r>
        <w:rPr>
          <w:b/>
          <w:sz w:val="24"/>
        </w:rPr>
        <w:t>Infringement Risk Assessment</w:t>
      </w:r>
    </w:p>
    <w:p>
      <w:pPr>
        <w:spacing w:after="240" w:before="0"/>
      </w:pPr>
      <w:r>
        <w:rPr>
          <w:b w:val="0"/>
        </w:rPr>
        <w:t>The primary infringement risk is US20130043302A1, which describes QR scanning at events to establish connections. This is an application, not a granted patent. A patent attorney should verify its current status (granted, abandoned, or still pending) and review its specific claims to assess whether IN's implementation falls within scope. The Facebook colocation patents cover a different mechanism (passive detection vs. active scanning) and are unlikely to be infringed. The Radeum proximity patent (US9,560,505) covers NFMI hardware, which IN does not use.</w:t>
      </w:r>
    </w:p>
    <w:p>
      <w:pPr>
        <w:spacing w:after="240" w:before="0"/>
      </w:pPr>
      <w:r>
        <w:rPr>
          <w:b/>
          <w:color w:val="1A1A2E"/>
        </w:rPr>
        <w:t>Recommendation: The strongest patentable claim would be a method patent covering the integrated system — not any single feature, but the combination of exclusive QR graph creation + event-bound metadata + behavioral verification ladder + derived audience intelligence from a proximity-verified professional graph. This should be drafted by a patent attorney specializing in software method patents.</w:t>
      </w:r>
    </w:p>
    <w:p>
      <w:r>
        <w:br w:type="page"/>
      </w:r>
    </w:p>
    <w:p>
      <w:pPr>
        <w:pStyle w:val="Heading1"/>
      </w:pPr>
      <w:r>
        <w:t>Part 2: Competitive Landscape</w:t>
      </w:r>
    </w:p>
    <w:p>
      <w:pPr>
        <w:spacing w:after="240" w:before="0"/>
      </w:pPr>
      <w:r>
        <w:rPr>
          <w:b w:val="0"/>
        </w:rPr>
        <w:t>This section maps the competitive landscape across four categories: event networking platforms, digital business card apps, creative professional platforms, and professional matching apps. No single competitor replicates IN's full model, but several overlap on individual dimensions.</w:t>
      </w:r>
    </w:p>
    <w:p>
      <w:pPr>
        <w:pStyle w:val="Heading2"/>
      </w:pPr>
      <w:r>
        <w:t>2.1 Event Networking Platforms</w:t>
      </w:r>
    </w:p>
    <w:p>
      <w:pPr>
        <w:spacing w:after="160" w:before="0"/>
      </w:pPr>
      <w:r>
        <w:rPr>
          <w:b w:val="0"/>
        </w:rPr>
        <w:t>These platforms facilitate connections at conferences, trade shows, and professional events. They are the closest category to IN's event-first model, but differ in critical ways.</w:t>
      </w:r>
    </w:p>
    <w:tbl>
      <w:tblPr>
        <w:tblStyle w:val="LightGrid-Accent1"/>
        <w:tblW w:type="auto" w:w="0"/>
        <w:jc w:val="left"/>
        <w:tblLook w:firstColumn="1" w:firstRow="1" w:lastColumn="0" w:lastRow="0" w:noHBand="0" w:noVBand="1" w:val="04A0"/>
      </w:tblPr>
      <w:tblGrid>
        <w:gridCol w:w="1872"/>
        <w:gridCol w:w="1872"/>
        <w:gridCol w:w="1872"/>
        <w:gridCol w:w="1872"/>
        <w:gridCol w:w="1872"/>
      </w:tblGrid>
      <w:tr>
        <w:tc>
          <w:tcPr>
            <w:tcW w:type="dxa" w:w="1440"/>
          </w:tcPr>
          <w:p>
            <w:r/>
            <w:r>
              <w:rPr>
                <w:rFonts w:ascii="Arial" w:hAnsi="Arial"/>
                <w:b/>
                <w:sz w:val="20"/>
              </w:rPr>
              <w:t>Platform</w:t>
            </w:r>
          </w:p>
        </w:tc>
        <w:tc>
          <w:tcPr>
            <w:tcW w:type="dxa" w:w="1872"/>
          </w:tcPr>
          <w:p>
            <w:r/>
            <w:r>
              <w:rPr>
                <w:rFonts w:ascii="Arial" w:hAnsi="Arial"/>
                <w:b/>
                <w:sz w:val="20"/>
              </w:rPr>
              <w:t>Model</w:t>
            </w:r>
          </w:p>
        </w:tc>
        <w:tc>
          <w:tcPr>
            <w:tcW w:type="dxa" w:w="2160"/>
          </w:tcPr>
          <w:p>
            <w:r/>
            <w:r>
              <w:rPr>
                <w:rFonts w:ascii="Arial" w:hAnsi="Arial"/>
                <w:b/>
                <w:sz w:val="20"/>
              </w:rPr>
              <w:t>Connection Mechanism</w:t>
            </w:r>
          </w:p>
        </w:tc>
        <w:tc>
          <w:tcPr>
            <w:tcW w:type="dxa" w:w="1728"/>
          </w:tcPr>
          <w:p>
            <w:r/>
            <w:r>
              <w:rPr>
                <w:rFonts w:ascii="Arial" w:hAnsi="Arial"/>
                <w:b/>
                <w:sz w:val="20"/>
              </w:rPr>
              <w:t>Post-Event Engagement</w:t>
            </w:r>
          </w:p>
        </w:tc>
        <w:tc>
          <w:tcPr>
            <w:tcW w:type="dxa" w:w="2160"/>
          </w:tcPr>
          <w:p>
            <w:r/>
            <w:r>
              <w:rPr>
                <w:rFonts w:ascii="Arial" w:hAnsi="Arial"/>
                <w:b/>
                <w:sz w:val="20"/>
              </w:rPr>
              <w:t>Key Difference from IN</w:t>
            </w:r>
          </w:p>
        </w:tc>
      </w:tr>
      <w:tr>
        <w:tc>
          <w:tcPr>
            <w:tcW w:type="dxa" w:w="1440"/>
          </w:tcPr>
          <w:p>
            <w:r/>
            <w:r>
              <w:rPr>
                <w:rFonts w:ascii="Arial" w:hAnsi="Arial"/>
                <w:sz w:val="20"/>
              </w:rPr>
              <w:t>Swapcard</w:t>
            </w:r>
          </w:p>
        </w:tc>
        <w:tc>
          <w:tcPr>
            <w:tcW w:type="dxa" w:w="1872"/>
          </w:tcPr>
          <w:p>
            <w:r/>
            <w:r>
              <w:rPr>
                <w:rFonts w:ascii="Arial" w:hAnsi="Arial"/>
                <w:sz w:val="20"/>
              </w:rPr>
              <w:t>B2B event platform for organizers</w:t>
            </w:r>
          </w:p>
        </w:tc>
        <w:tc>
          <w:tcPr>
            <w:tcW w:type="dxa" w:w="2160"/>
          </w:tcPr>
          <w:p>
            <w:r/>
            <w:r>
              <w:rPr>
                <w:rFonts w:ascii="Arial" w:hAnsi="Arial"/>
                <w:sz w:val="20"/>
              </w:rPr>
              <w:t>QR badge scanning + AI matchmaking + chat</w:t>
            </w:r>
          </w:p>
        </w:tc>
        <w:tc>
          <w:tcPr>
            <w:tcW w:type="dxa" w:w="1728"/>
          </w:tcPr>
          <w:p>
            <w:r/>
            <w:r>
              <w:rPr>
                <w:rFonts w:ascii="Arial" w:hAnsi="Arial"/>
                <w:sz w:val="20"/>
              </w:rPr>
              <w:t>Limited — event-scoped</w:t>
            </w:r>
          </w:p>
        </w:tc>
        <w:tc>
          <w:tcPr>
            <w:tcW w:type="dxa" w:w="2160"/>
          </w:tcPr>
          <w:p>
            <w:r/>
            <w:r>
              <w:rPr>
                <w:rFonts w:ascii="Arial" w:hAnsi="Arial"/>
                <w:sz w:val="20"/>
              </w:rPr>
              <w:t>Organizer-facing, not attendee community. No persistent social graph.</w:t>
            </w:r>
          </w:p>
        </w:tc>
      </w:tr>
      <w:tr>
        <w:tc>
          <w:tcPr>
            <w:tcW w:type="dxa" w:w="1440"/>
          </w:tcPr>
          <w:p>
            <w:r/>
            <w:r>
              <w:rPr>
                <w:rFonts w:ascii="Arial" w:hAnsi="Arial"/>
                <w:sz w:val="20"/>
              </w:rPr>
              <w:t>Grip</w:t>
            </w:r>
          </w:p>
        </w:tc>
        <w:tc>
          <w:tcPr>
            <w:tcW w:type="dxa" w:w="1872"/>
          </w:tcPr>
          <w:p>
            <w:r/>
            <w:r>
              <w:rPr>
                <w:rFonts w:ascii="Arial" w:hAnsi="Arial"/>
                <w:sz w:val="20"/>
              </w:rPr>
              <w:t>AI-powered event networking</w:t>
            </w:r>
          </w:p>
        </w:tc>
        <w:tc>
          <w:tcPr>
            <w:tcW w:type="dxa" w:w="2160"/>
          </w:tcPr>
          <w:p>
            <w:r/>
            <w:r>
              <w:rPr>
                <w:rFonts w:ascii="Arial" w:hAnsi="Arial"/>
                <w:sz w:val="20"/>
              </w:rPr>
              <w:t>AI-suggested meetings + scheduling</w:t>
            </w:r>
          </w:p>
        </w:tc>
        <w:tc>
          <w:tcPr>
            <w:tcW w:type="dxa" w:w="1728"/>
          </w:tcPr>
          <w:p>
            <w:r/>
            <w:r>
              <w:rPr>
                <w:rFonts w:ascii="Arial" w:hAnsi="Arial"/>
                <w:sz w:val="20"/>
              </w:rPr>
              <w:t>None — per-event only</w:t>
            </w:r>
          </w:p>
        </w:tc>
        <w:tc>
          <w:tcPr>
            <w:tcW w:type="dxa" w:w="2160"/>
          </w:tcPr>
          <w:p>
            <w:r/>
            <w:r>
              <w:rPr>
                <w:rFonts w:ascii="Arial" w:hAnsi="Arial"/>
                <w:sz w:val="20"/>
              </w:rPr>
              <w:t>Meeting scheduling, not connection graph. No post-event social network.</w:t>
            </w:r>
          </w:p>
        </w:tc>
      </w:tr>
      <w:tr>
        <w:tc>
          <w:tcPr>
            <w:tcW w:type="dxa" w:w="1440"/>
          </w:tcPr>
          <w:p>
            <w:r/>
            <w:r>
              <w:rPr>
                <w:rFonts w:ascii="Arial" w:hAnsi="Arial"/>
                <w:sz w:val="20"/>
              </w:rPr>
              <w:t>Brella</w:t>
            </w:r>
          </w:p>
        </w:tc>
        <w:tc>
          <w:tcPr>
            <w:tcW w:type="dxa" w:w="1872"/>
          </w:tcPr>
          <w:p>
            <w:r/>
            <w:r>
              <w:rPr>
                <w:rFonts w:ascii="Arial" w:hAnsi="Arial"/>
                <w:sz w:val="20"/>
              </w:rPr>
              <w:t>Event matchmaking platform</w:t>
            </w:r>
          </w:p>
        </w:tc>
        <w:tc>
          <w:tcPr>
            <w:tcW w:type="dxa" w:w="2160"/>
          </w:tcPr>
          <w:p>
            <w:r/>
            <w:r>
              <w:rPr>
                <w:rFonts w:ascii="Arial" w:hAnsi="Arial"/>
                <w:sz w:val="20"/>
              </w:rPr>
              <w:t>AI matchmaking + virtual meeting rooms</w:t>
            </w:r>
          </w:p>
        </w:tc>
        <w:tc>
          <w:tcPr>
            <w:tcW w:type="dxa" w:w="1728"/>
          </w:tcPr>
          <w:p>
            <w:r/>
            <w:r>
              <w:rPr>
                <w:rFonts w:ascii="Arial" w:hAnsi="Arial"/>
                <w:sz w:val="20"/>
              </w:rPr>
              <w:t>None — event-scoped</w:t>
            </w:r>
          </w:p>
        </w:tc>
        <w:tc>
          <w:tcPr>
            <w:tcW w:type="dxa" w:w="2160"/>
          </w:tcPr>
          <w:p>
            <w:r/>
            <w:r>
              <w:rPr>
                <w:rFonts w:ascii="Arial" w:hAnsi="Arial"/>
                <w:sz w:val="20"/>
              </w:rPr>
              <w:t>Virtual meeting focus. No physical proximity verification.</w:t>
            </w:r>
          </w:p>
        </w:tc>
      </w:tr>
      <w:tr>
        <w:tc>
          <w:tcPr>
            <w:tcW w:type="dxa" w:w="1440"/>
          </w:tcPr>
          <w:p>
            <w:r/>
            <w:r>
              <w:rPr>
                <w:rFonts w:ascii="Arial" w:hAnsi="Arial"/>
                <w:sz w:val="20"/>
              </w:rPr>
              <w:t>Whova</w:t>
            </w:r>
          </w:p>
        </w:tc>
        <w:tc>
          <w:tcPr>
            <w:tcW w:type="dxa" w:w="1872"/>
          </w:tcPr>
          <w:p>
            <w:r/>
            <w:r>
              <w:rPr>
                <w:rFonts w:ascii="Arial" w:hAnsi="Arial"/>
                <w:sz w:val="20"/>
              </w:rPr>
              <w:t>Event management + networking</w:t>
            </w:r>
          </w:p>
        </w:tc>
        <w:tc>
          <w:tcPr>
            <w:tcW w:type="dxa" w:w="2160"/>
          </w:tcPr>
          <w:p>
            <w:r/>
            <w:r>
              <w:rPr>
                <w:rFonts w:ascii="Arial" w:hAnsi="Arial"/>
                <w:sz w:val="20"/>
              </w:rPr>
              <w:t>QR scanning + attendee directory + meetups</w:t>
            </w:r>
          </w:p>
        </w:tc>
        <w:tc>
          <w:tcPr>
            <w:tcW w:type="dxa" w:w="1728"/>
          </w:tcPr>
          <w:p>
            <w:r/>
            <w:r>
              <w:rPr>
                <w:rFonts w:ascii="Arial" w:hAnsi="Arial"/>
                <w:sz w:val="20"/>
              </w:rPr>
              <w:t>Minimal</w:t>
            </w:r>
          </w:p>
        </w:tc>
        <w:tc>
          <w:tcPr>
            <w:tcW w:type="dxa" w:w="2160"/>
          </w:tcPr>
          <w:p>
            <w:r/>
            <w:r>
              <w:rPr>
                <w:rFonts w:ascii="Arial" w:hAnsi="Arial"/>
                <w:sz w:val="20"/>
              </w:rPr>
              <w:t>Broad event management tool. Connections are per-event, not persistent.</w:t>
            </w:r>
          </w:p>
        </w:tc>
      </w:tr>
      <w:tr>
        <w:tc>
          <w:tcPr>
            <w:tcW w:type="dxa" w:w="1440"/>
          </w:tcPr>
          <w:p>
            <w:r/>
            <w:r>
              <w:rPr>
                <w:rFonts w:ascii="Arial" w:hAnsi="Arial"/>
                <w:sz w:val="20"/>
              </w:rPr>
              <w:t>Luma</w:t>
            </w:r>
          </w:p>
        </w:tc>
        <w:tc>
          <w:tcPr>
            <w:tcW w:type="dxa" w:w="1872"/>
          </w:tcPr>
          <w:p>
            <w:r/>
            <w:r>
              <w:rPr>
                <w:rFonts w:ascii="Arial" w:hAnsi="Arial"/>
                <w:sz w:val="20"/>
              </w:rPr>
              <w:t>Community event platform</w:t>
            </w:r>
          </w:p>
        </w:tc>
        <w:tc>
          <w:tcPr>
            <w:tcW w:type="dxa" w:w="2160"/>
          </w:tcPr>
          <w:p>
            <w:r/>
            <w:r>
              <w:rPr>
                <w:rFonts w:ascii="Arial" w:hAnsi="Arial"/>
                <w:sz w:val="20"/>
              </w:rPr>
              <w:t>Post-event messaging + attendee lookup</w:t>
            </w:r>
          </w:p>
        </w:tc>
        <w:tc>
          <w:tcPr>
            <w:tcW w:type="dxa" w:w="1728"/>
          </w:tcPr>
          <w:p>
            <w:r/>
            <w:r>
              <w:rPr>
                <w:rFonts w:ascii="Arial" w:hAnsi="Arial"/>
                <w:sz w:val="20"/>
              </w:rPr>
              <w:t>Strong — newsletters, series</w:t>
            </w:r>
          </w:p>
        </w:tc>
        <w:tc>
          <w:tcPr>
            <w:tcW w:type="dxa" w:w="2160"/>
          </w:tcPr>
          <w:p>
            <w:r/>
            <w:r>
              <w:rPr>
                <w:rFonts w:ascii="Arial" w:hAnsi="Arial"/>
                <w:sz w:val="20"/>
              </w:rPr>
              <w:t>Organizer-to-attendee focus. No QR-verified attendee-to-attendee graph.</w:t>
            </w:r>
          </w:p>
        </w:tc>
      </w:tr>
      <w:tr>
        <w:tc>
          <w:tcPr>
            <w:tcW w:type="dxa" w:w="1440"/>
          </w:tcPr>
          <w:p>
            <w:r/>
            <w:r>
              <w:rPr>
                <w:rFonts w:ascii="Arial" w:hAnsi="Arial"/>
                <w:sz w:val="20"/>
              </w:rPr>
              <w:t>Partiful</w:t>
            </w:r>
          </w:p>
        </w:tc>
        <w:tc>
          <w:tcPr>
            <w:tcW w:type="dxa" w:w="1872"/>
          </w:tcPr>
          <w:p>
            <w:r/>
            <w:r>
              <w:rPr>
                <w:rFonts w:ascii="Arial" w:hAnsi="Arial"/>
                <w:sz w:val="20"/>
              </w:rPr>
              <w:t>Social event invitations</w:t>
            </w:r>
          </w:p>
        </w:tc>
        <w:tc>
          <w:tcPr>
            <w:tcW w:type="dxa" w:w="2160"/>
          </w:tcPr>
          <w:p>
            <w:r/>
            <w:r>
              <w:rPr>
                <w:rFonts w:ascii="Arial" w:hAnsi="Arial"/>
                <w:sz w:val="20"/>
              </w:rPr>
              <w:t>RSVPs, comments, photo albums</w:t>
            </w:r>
          </w:p>
        </w:tc>
        <w:tc>
          <w:tcPr>
            <w:tcW w:type="dxa" w:w="1728"/>
          </w:tcPr>
          <w:p>
            <w:r/>
            <w:r>
              <w:rPr>
                <w:rFonts w:ascii="Arial" w:hAnsi="Arial"/>
                <w:sz w:val="20"/>
              </w:rPr>
              <w:t>Moderate — social features</w:t>
            </w:r>
          </w:p>
        </w:tc>
        <w:tc>
          <w:tcPr>
            <w:tcW w:type="dxa" w:w="2160"/>
          </w:tcPr>
          <w:p>
            <w:r/>
            <w:r>
              <w:rPr>
                <w:rFonts w:ascii="Arial" w:hAnsi="Arial"/>
                <w:sz w:val="20"/>
              </w:rPr>
              <w:t>Social events (parties), not professional networking. No verification.</w:t>
            </w:r>
          </w:p>
        </w:tc>
      </w:tr>
    </w:tbl>
    <w:p/>
    <w:p>
      <w:pPr>
        <w:spacing w:after="240" w:before="0"/>
      </w:pPr>
      <w:r>
        <w:rPr>
          <w:b/>
        </w:rPr>
        <w:t>Key insight: Event platforms treat networking as a feature of event management. IN treats the event as a feature of networking. This is a fundamental positioning difference. Event platforms create per-event connections that disappear after the event; IN creates a persistent, growing professional graph where every edge is event-verified.</w:t>
      </w:r>
    </w:p>
    <w:p>
      <w:pPr>
        <w:pStyle w:val="Heading2"/>
      </w:pPr>
      <w:r>
        <w:t>2.2 Digital Business Card / QR Contact Apps</w:t>
      </w:r>
    </w:p>
    <w:tbl>
      <w:tblPr>
        <w:tblStyle w:val="LightGrid-Accent1"/>
        <w:tblW w:type="auto" w:w="0"/>
        <w:jc w:val="left"/>
        <w:tblLook w:firstColumn="1" w:firstRow="1" w:lastColumn="0" w:lastRow="0" w:noHBand="0" w:noVBand="1" w:val="04A0"/>
      </w:tblPr>
      <w:tblGrid>
        <w:gridCol w:w="1872"/>
        <w:gridCol w:w="1872"/>
        <w:gridCol w:w="1872"/>
        <w:gridCol w:w="1872"/>
        <w:gridCol w:w="1872"/>
      </w:tblGrid>
      <w:tr>
        <w:tc>
          <w:tcPr>
            <w:tcW w:type="dxa" w:w="1440"/>
          </w:tcPr>
          <w:p>
            <w:r/>
            <w:r>
              <w:rPr>
                <w:rFonts w:ascii="Arial" w:hAnsi="Arial"/>
                <w:b/>
                <w:sz w:val="20"/>
              </w:rPr>
              <w:t>Platform</w:t>
            </w:r>
          </w:p>
        </w:tc>
        <w:tc>
          <w:tcPr>
            <w:tcW w:type="dxa" w:w="1872"/>
          </w:tcPr>
          <w:p>
            <w:r/>
            <w:r>
              <w:rPr>
                <w:rFonts w:ascii="Arial" w:hAnsi="Arial"/>
                <w:b/>
                <w:sz w:val="20"/>
              </w:rPr>
              <w:t>Model</w:t>
            </w:r>
          </w:p>
        </w:tc>
        <w:tc>
          <w:tcPr>
            <w:tcW w:type="dxa" w:w="2160"/>
          </w:tcPr>
          <w:p>
            <w:r/>
            <w:r>
              <w:rPr>
                <w:rFonts w:ascii="Arial" w:hAnsi="Arial"/>
                <w:b/>
                <w:sz w:val="20"/>
              </w:rPr>
              <w:t>How It Works</w:t>
            </w:r>
          </w:p>
        </w:tc>
        <w:tc>
          <w:tcPr>
            <w:tcW w:type="dxa" w:w="1440"/>
          </w:tcPr>
          <w:p>
            <w:r/>
            <w:r>
              <w:rPr>
                <w:rFonts w:ascii="Arial" w:hAnsi="Arial"/>
                <w:b/>
                <w:sz w:val="20"/>
              </w:rPr>
              <w:t>Social Graph?</w:t>
            </w:r>
          </w:p>
        </w:tc>
        <w:tc>
          <w:tcPr>
            <w:tcW w:type="dxa" w:w="2448"/>
          </w:tcPr>
          <w:p>
            <w:r/>
            <w:r>
              <w:rPr>
                <w:rFonts w:ascii="Arial" w:hAnsi="Arial"/>
                <w:b/>
                <w:sz w:val="20"/>
              </w:rPr>
              <w:t>Key Difference from IN</w:t>
            </w:r>
          </w:p>
        </w:tc>
      </w:tr>
      <w:tr>
        <w:tc>
          <w:tcPr>
            <w:tcW w:type="dxa" w:w="1440"/>
          </w:tcPr>
          <w:p>
            <w:r/>
            <w:r>
              <w:rPr>
                <w:rFonts w:ascii="Arial" w:hAnsi="Arial"/>
                <w:sz w:val="20"/>
              </w:rPr>
              <w:t>Popl</w:t>
            </w:r>
          </w:p>
        </w:tc>
        <w:tc>
          <w:tcPr>
            <w:tcW w:type="dxa" w:w="1872"/>
          </w:tcPr>
          <w:p>
            <w:r/>
            <w:r>
              <w:rPr>
                <w:rFonts w:ascii="Arial" w:hAnsi="Arial"/>
                <w:sz w:val="20"/>
              </w:rPr>
              <w:t>Digital business card + lead capture</w:t>
            </w:r>
          </w:p>
        </w:tc>
        <w:tc>
          <w:tcPr>
            <w:tcW w:type="dxa" w:w="2160"/>
          </w:tcPr>
          <w:p>
            <w:r/>
            <w:r>
              <w:rPr>
                <w:rFonts w:ascii="Arial" w:hAnsi="Arial"/>
                <w:sz w:val="20"/>
              </w:rPr>
              <w:t>NFC tap or QR scan shares contact info, CRM sync</w:t>
            </w:r>
          </w:p>
        </w:tc>
        <w:tc>
          <w:tcPr>
            <w:tcW w:type="dxa" w:w="1440"/>
          </w:tcPr>
          <w:p>
            <w:r/>
            <w:r>
              <w:rPr>
                <w:rFonts w:ascii="Arial" w:hAnsi="Arial"/>
                <w:sz w:val="20"/>
              </w:rPr>
              <w:t>No — contact list only</w:t>
            </w:r>
          </w:p>
        </w:tc>
        <w:tc>
          <w:tcPr>
            <w:tcW w:type="dxa" w:w="2448"/>
          </w:tcPr>
          <w:p>
            <w:r/>
            <w:r>
              <w:rPr>
                <w:rFonts w:ascii="Arial" w:hAnsi="Arial"/>
                <w:sz w:val="20"/>
              </w:rPr>
              <w:t>Lead capture tool, not social network. No community, no feed, no verification.</w:t>
            </w:r>
          </w:p>
        </w:tc>
      </w:tr>
      <w:tr>
        <w:tc>
          <w:tcPr>
            <w:tcW w:type="dxa" w:w="1440"/>
          </w:tcPr>
          <w:p>
            <w:r/>
            <w:r>
              <w:rPr>
                <w:rFonts w:ascii="Arial" w:hAnsi="Arial"/>
                <w:sz w:val="20"/>
              </w:rPr>
              <w:t>Blinq</w:t>
            </w:r>
          </w:p>
        </w:tc>
        <w:tc>
          <w:tcPr>
            <w:tcW w:type="dxa" w:w="1872"/>
          </w:tcPr>
          <w:p>
            <w:r/>
            <w:r>
              <w:rPr>
                <w:rFonts w:ascii="Arial" w:hAnsi="Arial"/>
                <w:sz w:val="20"/>
              </w:rPr>
              <w:t>Free digital business card</w:t>
            </w:r>
          </w:p>
        </w:tc>
        <w:tc>
          <w:tcPr>
            <w:tcW w:type="dxa" w:w="2160"/>
          </w:tcPr>
          <w:p>
            <w:r/>
            <w:r>
              <w:rPr>
                <w:rFonts w:ascii="Arial" w:hAnsi="Arial"/>
                <w:sz w:val="20"/>
              </w:rPr>
              <w:t>QR code or link shares contact details</w:t>
            </w:r>
          </w:p>
        </w:tc>
        <w:tc>
          <w:tcPr>
            <w:tcW w:type="dxa" w:w="1440"/>
          </w:tcPr>
          <w:p>
            <w:r/>
            <w:r>
              <w:rPr>
                <w:rFonts w:ascii="Arial" w:hAnsi="Arial"/>
                <w:sz w:val="20"/>
              </w:rPr>
              <w:t>No</w:t>
            </w:r>
          </w:p>
        </w:tc>
        <w:tc>
          <w:tcPr>
            <w:tcW w:type="dxa" w:w="2448"/>
          </w:tcPr>
          <w:p>
            <w:r/>
            <w:r>
              <w:rPr>
                <w:rFonts w:ascii="Arial" w:hAnsi="Arial"/>
                <w:sz w:val="20"/>
              </w:rPr>
              <w:t>Simple contact exchange. No event context, no professional graph.</w:t>
            </w:r>
          </w:p>
        </w:tc>
      </w:tr>
      <w:tr>
        <w:tc>
          <w:tcPr>
            <w:tcW w:type="dxa" w:w="1440"/>
          </w:tcPr>
          <w:p>
            <w:r/>
            <w:r>
              <w:rPr>
                <w:rFonts w:ascii="Arial" w:hAnsi="Arial"/>
                <w:sz w:val="20"/>
              </w:rPr>
              <w:t>HiHello</w:t>
            </w:r>
          </w:p>
        </w:tc>
        <w:tc>
          <w:tcPr>
            <w:tcW w:type="dxa" w:w="1872"/>
          </w:tcPr>
          <w:p>
            <w:r/>
            <w:r>
              <w:rPr>
                <w:rFonts w:ascii="Arial" w:hAnsi="Arial"/>
                <w:sz w:val="20"/>
              </w:rPr>
              <w:t>Digital business card platform</w:t>
            </w:r>
          </w:p>
        </w:tc>
        <w:tc>
          <w:tcPr>
            <w:tcW w:type="dxa" w:w="2160"/>
          </w:tcPr>
          <w:p>
            <w:r/>
            <w:r>
              <w:rPr>
                <w:rFonts w:ascii="Arial" w:hAnsi="Arial"/>
                <w:sz w:val="20"/>
              </w:rPr>
              <w:t>QR codes, NFC, Apple/Google Wallet</w:t>
            </w:r>
          </w:p>
        </w:tc>
        <w:tc>
          <w:tcPr>
            <w:tcW w:type="dxa" w:w="1440"/>
          </w:tcPr>
          <w:p>
            <w:r/>
            <w:r>
              <w:rPr>
                <w:rFonts w:ascii="Arial" w:hAnsi="Arial"/>
                <w:sz w:val="20"/>
              </w:rPr>
              <w:t>No</w:t>
            </w:r>
          </w:p>
        </w:tc>
        <w:tc>
          <w:tcPr>
            <w:tcW w:type="dxa" w:w="2448"/>
          </w:tcPr>
          <w:p>
            <w:r/>
            <w:r>
              <w:rPr>
                <w:rFonts w:ascii="Arial" w:hAnsi="Arial"/>
                <w:sz w:val="20"/>
              </w:rPr>
              <w:t>Contact management tool. No event-binding, no community features.</w:t>
            </w:r>
          </w:p>
        </w:tc>
      </w:tr>
      <w:tr>
        <w:tc>
          <w:tcPr>
            <w:tcW w:type="dxa" w:w="1440"/>
          </w:tcPr>
          <w:p>
            <w:r/>
            <w:r>
              <w:rPr>
                <w:rFonts w:ascii="Arial" w:hAnsi="Arial"/>
                <w:sz w:val="20"/>
              </w:rPr>
              <w:t>V1CE</w:t>
            </w:r>
          </w:p>
        </w:tc>
        <w:tc>
          <w:tcPr>
            <w:tcW w:type="dxa" w:w="1872"/>
          </w:tcPr>
          <w:p>
            <w:r/>
            <w:r>
              <w:rPr>
                <w:rFonts w:ascii="Arial" w:hAnsi="Arial"/>
                <w:sz w:val="20"/>
              </w:rPr>
              <w:t>NFC card + digital profile</w:t>
            </w:r>
          </w:p>
        </w:tc>
        <w:tc>
          <w:tcPr>
            <w:tcW w:type="dxa" w:w="2160"/>
          </w:tcPr>
          <w:p>
            <w:r/>
            <w:r>
              <w:rPr>
                <w:rFonts w:ascii="Arial" w:hAnsi="Arial"/>
                <w:sz w:val="20"/>
              </w:rPr>
              <w:t>Physical NFC card triggers profile share</w:t>
            </w:r>
          </w:p>
        </w:tc>
        <w:tc>
          <w:tcPr>
            <w:tcW w:type="dxa" w:w="1440"/>
          </w:tcPr>
          <w:p>
            <w:r/>
            <w:r>
              <w:rPr>
                <w:rFonts w:ascii="Arial" w:hAnsi="Arial"/>
                <w:sz w:val="20"/>
              </w:rPr>
              <w:t>No</w:t>
            </w:r>
          </w:p>
        </w:tc>
        <w:tc>
          <w:tcPr>
            <w:tcW w:type="dxa" w:w="2448"/>
          </w:tcPr>
          <w:p>
            <w:r/>
            <w:r>
              <w:rPr>
                <w:rFonts w:ascii="Arial" w:hAnsi="Arial"/>
                <w:sz w:val="20"/>
              </w:rPr>
              <w:t>Hardware product (NFC cards). No software community.</w:t>
            </w:r>
          </w:p>
        </w:tc>
      </w:tr>
      <w:tr>
        <w:tc>
          <w:tcPr>
            <w:tcW w:type="dxa" w:w="1440"/>
          </w:tcPr>
          <w:p>
            <w:r/>
            <w:r>
              <w:rPr>
                <w:rFonts w:ascii="Arial" w:hAnsi="Arial"/>
                <w:sz w:val="20"/>
              </w:rPr>
              <w:t>Wave Connect</w:t>
            </w:r>
          </w:p>
        </w:tc>
        <w:tc>
          <w:tcPr>
            <w:tcW w:type="dxa" w:w="1872"/>
          </w:tcPr>
          <w:p>
            <w:r/>
            <w:r>
              <w:rPr>
                <w:rFonts w:ascii="Arial" w:hAnsi="Arial"/>
                <w:sz w:val="20"/>
              </w:rPr>
              <w:t>Digital business card</w:t>
            </w:r>
          </w:p>
        </w:tc>
        <w:tc>
          <w:tcPr>
            <w:tcW w:type="dxa" w:w="2160"/>
          </w:tcPr>
          <w:p>
            <w:r/>
            <w:r>
              <w:rPr>
                <w:rFonts w:ascii="Arial" w:hAnsi="Arial"/>
                <w:sz w:val="20"/>
              </w:rPr>
              <w:t>QR + NFC + Apple Wallet</w:t>
            </w:r>
          </w:p>
        </w:tc>
        <w:tc>
          <w:tcPr>
            <w:tcW w:type="dxa" w:w="1440"/>
          </w:tcPr>
          <w:p>
            <w:r/>
            <w:r>
              <w:rPr>
                <w:rFonts w:ascii="Arial" w:hAnsi="Arial"/>
                <w:sz w:val="20"/>
              </w:rPr>
              <w:t>No</w:t>
            </w:r>
          </w:p>
        </w:tc>
        <w:tc>
          <w:tcPr>
            <w:tcW w:type="dxa" w:w="2448"/>
          </w:tcPr>
          <w:p>
            <w:r/>
            <w:r>
              <w:rPr>
                <w:rFonts w:ascii="Arial" w:hAnsi="Arial"/>
                <w:sz w:val="20"/>
              </w:rPr>
              <w:t>Contact exchange only. No persistent social network.</w:t>
            </w:r>
          </w:p>
        </w:tc>
      </w:tr>
    </w:tbl>
    <w:p/>
    <w:p>
      <w:pPr>
        <w:spacing w:after="240" w:before="0"/>
      </w:pPr>
      <w:r>
        <w:rPr>
          <w:b/>
        </w:rPr>
        <w:t>Key insight: Digital business card apps use QR/NFC for contact exchange but build no social graph, community, or event-verified network. They are tools for information transfer, not platforms for ongoing professional relationships. IN's QR scan creates a persistent, bilateral connection with event metadata — not a one-way contact card dump.</w:t>
      </w:r>
    </w:p>
    <w:p>
      <w:pPr>
        <w:pStyle w:val="Heading2"/>
      </w:pPr>
      <w:r>
        <w:t>2.3 Creative Professional Platforms</w:t>
      </w:r>
    </w:p>
    <w:tbl>
      <w:tblPr>
        <w:tblStyle w:val="LightGrid-Accent1"/>
        <w:tblW w:type="auto" w:w="0"/>
        <w:jc w:val="left"/>
        <w:tblLook w:firstColumn="1" w:firstRow="1" w:lastColumn="0" w:lastRow="0" w:noHBand="0" w:noVBand="1" w:val="04A0"/>
      </w:tblPr>
      <w:tblGrid>
        <w:gridCol w:w="1872"/>
        <w:gridCol w:w="1872"/>
        <w:gridCol w:w="1872"/>
        <w:gridCol w:w="1872"/>
        <w:gridCol w:w="1872"/>
      </w:tblGrid>
      <w:tr>
        <w:tc>
          <w:tcPr>
            <w:tcW w:type="dxa" w:w="1584"/>
          </w:tcPr>
          <w:p>
            <w:r/>
            <w:r>
              <w:rPr>
                <w:rFonts w:ascii="Arial" w:hAnsi="Arial"/>
                <w:b/>
                <w:sz w:val="20"/>
              </w:rPr>
              <w:t>Platform</w:t>
            </w:r>
          </w:p>
        </w:tc>
        <w:tc>
          <w:tcPr>
            <w:tcW w:type="dxa" w:w="1728"/>
          </w:tcPr>
          <w:p>
            <w:r/>
            <w:r>
              <w:rPr>
                <w:rFonts w:ascii="Arial" w:hAnsi="Arial"/>
                <w:b/>
                <w:sz w:val="20"/>
              </w:rPr>
              <w:t>Focus</w:t>
            </w:r>
          </w:p>
        </w:tc>
        <w:tc>
          <w:tcPr>
            <w:tcW w:type="dxa" w:w="2160"/>
          </w:tcPr>
          <w:p>
            <w:r/>
            <w:r>
              <w:rPr>
                <w:rFonts w:ascii="Arial" w:hAnsi="Arial"/>
                <w:b/>
                <w:sz w:val="20"/>
              </w:rPr>
              <w:t>Networking Model</w:t>
            </w:r>
          </w:p>
        </w:tc>
        <w:tc>
          <w:tcPr>
            <w:tcW w:type="dxa" w:w="1440"/>
          </w:tcPr>
          <w:p>
            <w:r/>
            <w:r>
              <w:rPr>
                <w:rFonts w:ascii="Arial" w:hAnsi="Arial"/>
                <w:b/>
                <w:sz w:val="20"/>
              </w:rPr>
              <w:t>Event Component?</w:t>
            </w:r>
          </w:p>
        </w:tc>
        <w:tc>
          <w:tcPr>
            <w:tcW w:type="dxa" w:w="2448"/>
          </w:tcPr>
          <w:p>
            <w:r/>
            <w:r>
              <w:rPr>
                <w:rFonts w:ascii="Arial" w:hAnsi="Arial"/>
                <w:b/>
                <w:sz w:val="20"/>
              </w:rPr>
              <w:t>Key Difference from IN</w:t>
            </w:r>
          </w:p>
        </w:tc>
      </w:tr>
      <w:tr>
        <w:tc>
          <w:tcPr>
            <w:tcW w:type="dxa" w:w="1584"/>
          </w:tcPr>
          <w:p>
            <w:r/>
            <w:r>
              <w:rPr>
                <w:rFonts w:ascii="Arial" w:hAnsi="Arial"/>
                <w:sz w:val="20"/>
              </w:rPr>
              <w:t>Model Mayhem</w:t>
            </w:r>
          </w:p>
        </w:tc>
        <w:tc>
          <w:tcPr>
            <w:tcW w:type="dxa" w:w="1728"/>
          </w:tcPr>
          <w:p>
            <w:r/>
            <w:r>
              <w:rPr>
                <w:rFonts w:ascii="Arial" w:hAnsi="Arial"/>
                <w:sz w:val="20"/>
              </w:rPr>
              <w:t>Models, photographers, MUAs</w:t>
            </w:r>
          </w:p>
        </w:tc>
        <w:tc>
          <w:tcPr>
            <w:tcW w:type="dxa" w:w="2160"/>
          </w:tcPr>
          <w:p>
            <w:r/>
            <w:r>
              <w:rPr>
                <w:rFonts w:ascii="Arial" w:hAnsi="Arial"/>
                <w:sz w:val="20"/>
              </w:rPr>
              <w:t>Portfolio + messaging + casting calls</w:t>
            </w:r>
          </w:p>
        </w:tc>
        <w:tc>
          <w:tcPr>
            <w:tcW w:type="dxa" w:w="1440"/>
          </w:tcPr>
          <w:p>
            <w:r/>
            <w:r>
              <w:rPr>
                <w:rFonts w:ascii="Arial" w:hAnsi="Arial"/>
                <w:sz w:val="20"/>
              </w:rPr>
              <w:t>No</w:t>
            </w:r>
          </w:p>
        </w:tc>
        <w:tc>
          <w:tcPr>
            <w:tcW w:type="dxa" w:w="2448"/>
          </w:tcPr>
          <w:p>
            <w:r/>
            <w:r>
              <w:rPr>
                <w:rFonts w:ascii="Arial" w:hAnsi="Arial"/>
                <w:sz w:val="20"/>
              </w:rPr>
              <w:t>Digital-only. No event verification. Portfolio-first, not connection-first.</w:t>
            </w:r>
          </w:p>
        </w:tc>
      </w:tr>
      <w:tr>
        <w:tc>
          <w:tcPr>
            <w:tcW w:type="dxa" w:w="1584"/>
          </w:tcPr>
          <w:p>
            <w:r/>
            <w:r>
              <w:rPr>
                <w:rFonts w:ascii="Arial" w:hAnsi="Arial"/>
                <w:sz w:val="20"/>
              </w:rPr>
              <w:t>Behance</w:t>
            </w:r>
          </w:p>
        </w:tc>
        <w:tc>
          <w:tcPr>
            <w:tcW w:type="dxa" w:w="1728"/>
          </w:tcPr>
          <w:p>
            <w:r/>
            <w:r>
              <w:rPr>
                <w:rFonts w:ascii="Arial" w:hAnsi="Arial"/>
                <w:sz w:val="20"/>
              </w:rPr>
              <w:t>Designers, artists, creatives</w:t>
            </w:r>
          </w:p>
        </w:tc>
        <w:tc>
          <w:tcPr>
            <w:tcW w:type="dxa" w:w="2160"/>
          </w:tcPr>
          <w:p>
            <w:r/>
            <w:r>
              <w:rPr>
                <w:rFonts w:ascii="Arial" w:hAnsi="Arial"/>
                <w:sz w:val="20"/>
              </w:rPr>
              <w:t>Portfolio showcase + Adobe integration</w:t>
            </w:r>
          </w:p>
        </w:tc>
        <w:tc>
          <w:tcPr>
            <w:tcW w:type="dxa" w:w="1440"/>
          </w:tcPr>
          <w:p>
            <w:r/>
            <w:r>
              <w:rPr>
                <w:rFonts w:ascii="Arial" w:hAnsi="Arial"/>
                <w:sz w:val="20"/>
              </w:rPr>
              <w:t>No</w:t>
            </w:r>
          </w:p>
        </w:tc>
        <w:tc>
          <w:tcPr>
            <w:tcW w:type="dxa" w:w="2448"/>
          </w:tcPr>
          <w:p>
            <w:r/>
            <w:r>
              <w:rPr>
                <w:rFonts w:ascii="Arial" w:hAnsi="Arial"/>
                <w:sz w:val="20"/>
              </w:rPr>
              <w:t>Portfolio/content platform, not networking. No event or proximity element.</w:t>
            </w:r>
          </w:p>
        </w:tc>
      </w:tr>
      <w:tr>
        <w:tc>
          <w:tcPr>
            <w:tcW w:type="dxa" w:w="1584"/>
          </w:tcPr>
          <w:p>
            <w:r/>
            <w:r>
              <w:rPr>
                <w:rFonts w:ascii="Arial" w:hAnsi="Arial"/>
                <w:sz w:val="20"/>
              </w:rPr>
              <w:t>StyleSeat</w:t>
            </w:r>
          </w:p>
        </w:tc>
        <w:tc>
          <w:tcPr>
            <w:tcW w:type="dxa" w:w="1728"/>
          </w:tcPr>
          <w:p>
            <w:r/>
            <w:r>
              <w:rPr>
                <w:rFonts w:ascii="Arial" w:hAnsi="Arial"/>
                <w:sz w:val="20"/>
              </w:rPr>
              <w:t>Hair stylists, barbers, beauty</w:t>
            </w:r>
          </w:p>
        </w:tc>
        <w:tc>
          <w:tcPr>
            <w:tcW w:type="dxa" w:w="2160"/>
          </w:tcPr>
          <w:p>
            <w:r/>
            <w:r>
              <w:rPr>
                <w:rFonts w:ascii="Arial" w:hAnsi="Arial"/>
                <w:sz w:val="20"/>
              </w:rPr>
              <w:t>Booking + marketplace</w:t>
            </w:r>
          </w:p>
        </w:tc>
        <w:tc>
          <w:tcPr>
            <w:tcW w:type="dxa" w:w="1440"/>
          </w:tcPr>
          <w:p>
            <w:r/>
            <w:r>
              <w:rPr>
                <w:rFonts w:ascii="Arial" w:hAnsi="Arial"/>
                <w:sz w:val="20"/>
              </w:rPr>
              <w:t>No</w:t>
            </w:r>
          </w:p>
        </w:tc>
        <w:tc>
          <w:tcPr>
            <w:tcW w:type="dxa" w:w="2448"/>
          </w:tcPr>
          <w:p>
            <w:r/>
            <w:r>
              <w:rPr>
                <w:rFonts w:ascii="Arial" w:hAnsi="Arial"/>
                <w:sz w:val="20"/>
              </w:rPr>
              <w:t>Booking platform (client-to-professional), not peer networking.</w:t>
            </w:r>
          </w:p>
        </w:tc>
      </w:tr>
      <w:tr>
        <w:tc>
          <w:tcPr>
            <w:tcW w:type="dxa" w:w="1584"/>
          </w:tcPr>
          <w:p>
            <w:r/>
            <w:r>
              <w:rPr>
                <w:rFonts w:ascii="Arial" w:hAnsi="Arial"/>
                <w:sz w:val="20"/>
              </w:rPr>
              <w:t>The Dots</w:t>
            </w:r>
          </w:p>
        </w:tc>
        <w:tc>
          <w:tcPr>
            <w:tcW w:type="dxa" w:w="1728"/>
          </w:tcPr>
          <w:p>
            <w:r/>
            <w:r>
              <w:rPr>
                <w:rFonts w:ascii="Arial" w:hAnsi="Arial"/>
                <w:sz w:val="20"/>
              </w:rPr>
              <w:t>Creative professionals broadly</w:t>
            </w:r>
          </w:p>
        </w:tc>
        <w:tc>
          <w:tcPr>
            <w:tcW w:type="dxa" w:w="2160"/>
          </w:tcPr>
          <w:p>
            <w:r/>
            <w:r>
              <w:rPr>
                <w:rFonts w:ascii="Arial" w:hAnsi="Arial"/>
                <w:sz w:val="20"/>
              </w:rPr>
              <w:t>Portfolio + job board + connections</w:t>
            </w:r>
          </w:p>
        </w:tc>
        <w:tc>
          <w:tcPr>
            <w:tcW w:type="dxa" w:w="1440"/>
          </w:tcPr>
          <w:p>
            <w:r/>
            <w:r>
              <w:rPr>
                <w:rFonts w:ascii="Arial" w:hAnsi="Arial"/>
                <w:sz w:val="20"/>
              </w:rPr>
              <w:t>Occasional</w:t>
            </w:r>
          </w:p>
        </w:tc>
        <w:tc>
          <w:tcPr>
            <w:tcW w:type="dxa" w:w="2448"/>
          </w:tcPr>
          <w:p>
            <w:r/>
            <w:r>
              <w:rPr>
                <w:rFonts w:ascii="Arial" w:hAnsi="Arial"/>
                <w:sz w:val="20"/>
              </w:rPr>
              <w:t>Digital-first connections. No event verification. Broader creative scope.</w:t>
            </w:r>
          </w:p>
        </w:tc>
      </w:tr>
      <w:tr>
        <w:tc>
          <w:tcPr>
            <w:tcW w:type="dxa" w:w="1584"/>
          </w:tcPr>
          <w:p>
            <w:r/>
            <w:r>
              <w:rPr>
                <w:rFonts w:ascii="Arial" w:hAnsi="Arial"/>
                <w:sz w:val="20"/>
              </w:rPr>
              <w:t>Backstage</w:t>
            </w:r>
          </w:p>
        </w:tc>
        <w:tc>
          <w:tcPr>
            <w:tcW w:type="dxa" w:w="1728"/>
          </w:tcPr>
          <w:p>
            <w:r/>
            <w:r>
              <w:rPr>
                <w:rFonts w:ascii="Arial" w:hAnsi="Arial"/>
                <w:sz w:val="20"/>
              </w:rPr>
              <w:t>Actors, performers, crew</w:t>
            </w:r>
          </w:p>
        </w:tc>
        <w:tc>
          <w:tcPr>
            <w:tcW w:type="dxa" w:w="2160"/>
          </w:tcPr>
          <w:p>
            <w:r/>
            <w:r>
              <w:rPr>
                <w:rFonts w:ascii="Arial" w:hAnsi="Arial"/>
                <w:sz w:val="20"/>
              </w:rPr>
              <w:t>Casting + job listings</w:t>
            </w:r>
          </w:p>
        </w:tc>
        <w:tc>
          <w:tcPr>
            <w:tcW w:type="dxa" w:w="1440"/>
          </w:tcPr>
          <w:p>
            <w:r/>
            <w:r>
              <w:rPr>
                <w:rFonts w:ascii="Arial" w:hAnsi="Arial"/>
                <w:sz w:val="20"/>
              </w:rPr>
              <w:t>No</w:t>
            </w:r>
          </w:p>
        </w:tc>
        <w:tc>
          <w:tcPr>
            <w:tcW w:type="dxa" w:w="2448"/>
          </w:tcPr>
          <w:p>
            <w:r/>
            <w:r>
              <w:rPr>
                <w:rFonts w:ascii="Arial" w:hAnsi="Arial"/>
                <w:sz w:val="20"/>
              </w:rPr>
              <w:t>Casting/job marketplace. No peer-to-peer networking graph.</w:t>
            </w:r>
          </w:p>
        </w:tc>
      </w:tr>
    </w:tbl>
    <w:p/>
    <w:p>
      <w:pPr>
        <w:spacing w:after="240" w:before="0"/>
      </w:pPr>
      <w:r>
        <w:rPr>
          <w:b/>
        </w:rPr>
        <w:t>Key insight: Creative professional platforms focus on portfolios, bookings, or job listings. None build a verified peer-to-peer professional graph through in-person events. IN occupies a unique space by combining creative professional identity with event-verified networking. The closest comparison would be Model Mayhem reimagined with an event-first, trust-verified networking model.</w:t>
      </w:r>
    </w:p>
    <w:p>
      <w:pPr>
        <w:pStyle w:val="Heading2"/>
      </w:pPr>
      <w:r>
        <w:t>2.4 Professional Matching Apps</w:t>
      </w:r>
    </w:p>
    <w:tbl>
      <w:tblPr>
        <w:tblStyle w:val="LightGrid-Accent1"/>
        <w:tblW w:type="auto" w:w="0"/>
        <w:jc w:val="left"/>
        <w:tblLook w:firstColumn="1" w:firstRow="1" w:lastColumn="0" w:lastRow="0" w:noHBand="0" w:noVBand="1" w:val="04A0"/>
      </w:tblPr>
      <w:tblGrid>
        <w:gridCol w:w="1872"/>
        <w:gridCol w:w="1872"/>
        <w:gridCol w:w="1872"/>
        <w:gridCol w:w="1872"/>
        <w:gridCol w:w="1872"/>
      </w:tblGrid>
      <w:tr>
        <w:tc>
          <w:tcPr>
            <w:tcW w:type="dxa" w:w="1728"/>
          </w:tcPr>
          <w:p>
            <w:r/>
            <w:r>
              <w:rPr>
                <w:rFonts w:ascii="Arial" w:hAnsi="Arial"/>
                <w:b/>
                <w:sz w:val="20"/>
              </w:rPr>
              <w:t>Platform</w:t>
            </w:r>
          </w:p>
        </w:tc>
        <w:tc>
          <w:tcPr>
            <w:tcW w:type="dxa" w:w="1872"/>
          </w:tcPr>
          <w:p>
            <w:r/>
            <w:r>
              <w:rPr>
                <w:rFonts w:ascii="Arial" w:hAnsi="Arial"/>
                <w:b/>
                <w:sz w:val="20"/>
              </w:rPr>
              <w:t>Model</w:t>
            </w:r>
          </w:p>
        </w:tc>
        <w:tc>
          <w:tcPr>
            <w:tcW w:type="dxa" w:w="2160"/>
          </w:tcPr>
          <w:p>
            <w:r/>
            <w:r>
              <w:rPr>
                <w:rFonts w:ascii="Arial" w:hAnsi="Arial"/>
                <w:b/>
                <w:sz w:val="20"/>
              </w:rPr>
              <w:t>Connection Mechanism</w:t>
            </w:r>
          </w:p>
        </w:tc>
        <w:tc>
          <w:tcPr>
            <w:tcW w:type="dxa" w:w="1440"/>
          </w:tcPr>
          <w:p>
            <w:r/>
            <w:r>
              <w:rPr>
                <w:rFonts w:ascii="Arial" w:hAnsi="Arial"/>
                <w:b/>
                <w:sz w:val="20"/>
              </w:rPr>
              <w:t>Status</w:t>
            </w:r>
          </w:p>
        </w:tc>
        <w:tc>
          <w:tcPr>
            <w:tcW w:type="dxa" w:w="2160"/>
          </w:tcPr>
          <w:p>
            <w:r/>
            <w:r>
              <w:rPr>
                <w:rFonts w:ascii="Arial" w:hAnsi="Arial"/>
                <w:b/>
                <w:sz w:val="20"/>
              </w:rPr>
              <w:t>Key Difference from IN</w:t>
            </w:r>
          </w:p>
        </w:tc>
      </w:tr>
      <w:tr>
        <w:tc>
          <w:tcPr>
            <w:tcW w:type="dxa" w:w="1728"/>
          </w:tcPr>
          <w:p>
            <w:r/>
            <w:r>
              <w:rPr>
                <w:rFonts w:ascii="Arial" w:hAnsi="Arial"/>
                <w:sz w:val="20"/>
              </w:rPr>
              <w:t>Shapr</w:t>
            </w:r>
          </w:p>
        </w:tc>
        <w:tc>
          <w:tcPr>
            <w:tcW w:type="dxa" w:w="1872"/>
          </w:tcPr>
          <w:p>
            <w:r/>
            <w:r>
              <w:rPr>
                <w:rFonts w:ascii="Arial" w:hAnsi="Arial"/>
                <w:sz w:val="20"/>
              </w:rPr>
              <w:t>Tinder-style professional matching</w:t>
            </w:r>
          </w:p>
        </w:tc>
        <w:tc>
          <w:tcPr>
            <w:tcW w:type="dxa" w:w="2160"/>
          </w:tcPr>
          <w:p>
            <w:r/>
            <w:r>
              <w:rPr>
                <w:rFonts w:ascii="Arial" w:hAnsi="Arial"/>
                <w:sz w:val="20"/>
              </w:rPr>
              <w:t>Swipe on curated profiles, mutual match</w:t>
            </w:r>
          </w:p>
        </w:tc>
        <w:tc>
          <w:tcPr>
            <w:tcW w:type="dxa" w:w="1440"/>
          </w:tcPr>
          <w:p>
            <w:r/>
            <w:r>
              <w:rPr>
                <w:rFonts w:ascii="Arial" w:hAnsi="Arial"/>
                <w:sz w:val="20"/>
              </w:rPr>
              <w:t>Shut down 2023</w:t>
            </w:r>
          </w:p>
        </w:tc>
        <w:tc>
          <w:tcPr>
            <w:tcW w:type="dxa" w:w="2160"/>
          </w:tcPr>
          <w:p>
            <w:r/>
            <w:r>
              <w:rPr>
                <w:rFonts w:ascii="Arial" w:hAnsi="Arial"/>
                <w:sz w:val="20"/>
              </w:rPr>
              <w:t>Algorithm-curated, not event-verified. No trust signal.</w:t>
            </w:r>
          </w:p>
        </w:tc>
      </w:tr>
      <w:tr>
        <w:tc>
          <w:tcPr>
            <w:tcW w:type="dxa" w:w="1728"/>
          </w:tcPr>
          <w:p>
            <w:r/>
            <w:r>
              <w:rPr>
                <w:rFonts w:ascii="Arial" w:hAnsi="Arial"/>
                <w:sz w:val="20"/>
              </w:rPr>
              <w:t>Bumble Bizz</w:t>
            </w:r>
          </w:p>
        </w:tc>
        <w:tc>
          <w:tcPr>
            <w:tcW w:type="dxa" w:w="1872"/>
          </w:tcPr>
          <w:p>
            <w:r/>
            <w:r>
              <w:rPr>
                <w:rFonts w:ascii="Arial" w:hAnsi="Arial"/>
                <w:sz w:val="20"/>
              </w:rPr>
              <w:t>Professional mode of Bumble</w:t>
            </w:r>
          </w:p>
        </w:tc>
        <w:tc>
          <w:tcPr>
            <w:tcW w:type="dxa" w:w="2160"/>
          </w:tcPr>
          <w:p>
            <w:r/>
            <w:r>
              <w:rPr>
                <w:rFonts w:ascii="Arial" w:hAnsi="Arial"/>
                <w:sz w:val="20"/>
              </w:rPr>
              <w:t>Swipe + match for professional networking</w:t>
            </w:r>
          </w:p>
        </w:tc>
        <w:tc>
          <w:tcPr>
            <w:tcW w:type="dxa" w:w="1440"/>
          </w:tcPr>
          <w:p>
            <w:r/>
            <w:r>
              <w:rPr>
                <w:rFonts w:ascii="Arial" w:hAnsi="Arial"/>
                <w:sz w:val="20"/>
              </w:rPr>
              <w:t>Active but niche</w:t>
            </w:r>
          </w:p>
        </w:tc>
        <w:tc>
          <w:tcPr>
            <w:tcW w:type="dxa" w:w="2160"/>
          </w:tcPr>
          <w:p>
            <w:r/>
            <w:r>
              <w:rPr>
                <w:rFonts w:ascii="Arial" w:hAnsi="Arial"/>
                <w:sz w:val="20"/>
              </w:rPr>
              <w:t>Digital matching. No event component. No specialty-specific community.</w:t>
            </w:r>
          </w:p>
        </w:tc>
      </w:tr>
      <w:tr>
        <w:tc>
          <w:tcPr>
            <w:tcW w:type="dxa" w:w="1728"/>
          </w:tcPr>
          <w:p>
            <w:r/>
            <w:r>
              <w:rPr>
                <w:rFonts w:ascii="Arial" w:hAnsi="Arial"/>
                <w:sz w:val="20"/>
              </w:rPr>
              <w:t>LinkedIn</w:t>
            </w:r>
          </w:p>
        </w:tc>
        <w:tc>
          <w:tcPr>
            <w:tcW w:type="dxa" w:w="1872"/>
          </w:tcPr>
          <w:p>
            <w:r/>
            <w:r>
              <w:rPr>
                <w:rFonts w:ascii="Arial" w:hAnsi="Arial"/>
                <w:sz w:val="20"/>
              </w:rPr>
              <w:t>Global professional network</w:t>
            </w:r>
          </w:p>
        </w:tc>
        <w:tc>
          <w:tcPr>
            <w:tcW w:type="dxa" w:w="2160"/>
          </w:tcPr>
          <w:p>
            <w:r/>
            <w:r>
              <w:rPr>
                <w:rFonts w:ascii="Arial" w:hAnsi="Arial"/>
                <w:sz w:val="20"/>
              </w:rPr>
              <w:t>Connection requests (digital, any time)</w:t>
            </w:r>
          </w:p>
        </w:tc>
        <w:tc>
          <w:tcPr>
            <w:tcW w:type="dxa" w:w="1440"/>
          </w:tcPr>
          <w:p>
            <w:r/>
            <w:r>
              <w:rPr>
                <w:rFonts w:ascii="Arial" w:hAnsi="Arial"/>
                <w:sz w:val="20"/>
              </w:rPr>
              <w:t>Dominant</w:t>
            </w:r>
          </w:p>
        </w:tc>
        <w:tc>
          <w:tcPr>
            <w:tcW w:type="dxa" w:w="2160"/>
          </w:tcPr>
          <w:p>
            <w:r/>
            <w:r>
              <w:rPr>
                <w:rFonts w:ascii="Arial" w:hAnsi="Arial"/>
                <w:sz w:val="20"/>
              </w:rPr>
              <w:t>No proximity verification. Self-reported credentials. Content+jobs focus.</w:t>
            </w:r>
          </w:p>
        </w:tc>
      </w:tr>
      <w:tr>
        <w:tc>
          <w:tcPr>
            <w:tcW w:type="dxa" w:w="1728"/>
          </w:tcPr>
          <w:p>
            <w:r/>
            <w:r>
              <w:rPr>
                <w:rFonts w:ascii="Arial" w:hAnsi="Arial"/>
                <w:sz w:val="20"/>
              </w:rPr>
              <w:t>Lunchclub (now Lunchclub AI)</w:t>
            </w:r>
          </w:p>
        </w:tc>
        <w:tc>
          <w:tcPr>
            <w:tcW w:type="dxa" w:w="1872"/>
          </w:tcPr>
          <w:p>
            <w:r/>
            <w:r>
              <w:rPr>
                <w:rFonts w:ascii="Arial" w:hAnsi="Arial"/>
                <w:sz w:val="20"/>
              </w:rPr>
              <w:t>AI-matched 1:1 meetings</w:t>
            </w:r>
          </w:p>
        </w:tc>
        <w:tc>
          <w:tcPr>
            <w:tcW w:type="dxa" w:w="2160"/>
          </w:tcPr>
          <w:p>
            <w:r/>
            <w:r>
              <w:rPr>
                <w:rFonts w:ascii="Arial" w:hAnsi="Arial"/>
                <w:sz w:val="20"/>
              </w:rPr>
              <w:t>Algorithm matches for virtual/in-person</w:t>
            </w:r>
          </w:p>
        </w:tc>
        <w:tc>
          <w:tcPr>
            <w:tcW w:type="dxa" w:w="1440"/>
          </w:tcPr>
          <w:p>
            <w:r/>
            <w:r>
              <w:rPr>
                <w:rFonts w:ascii="Arial" w:hAnsi="Arial"/>
                <w:sz w:val="20"/>
              </w:rPr>
              <w:t>Pivoting</w:t>
            </w:r>
          </w:p>
        </w:tc>
        <w:tc>
          <w:tcPr>
            <w:tcW w:type="dxa" w:w="2160"/>
          </w:tcPr>
          <w:p>
            <w:r/>
            <w:r>
              <w:rPr>
                <w:rFonts w:ascii="Arial" w:hAnsi="Arial"/>
                <w:sz w:val="20"/>
              </w:rPr>
              <w:t>AI-scheduled meetings, not community graph. No event ecosystem.</w:t>
            </w:r>
          </w:p>
        </w:tc>
      </w:tr>
    </w:tbl>
    <w:p/>
    <w:p>
      <w:pPr>
        <w:spacing w:after="240" w:before="0"/>
      </w:pPr>
      <w:r>
        <w:rPr>
          <w:b/>
        </w:rPr>
        <w:t>Key insight: Professional matching apps use algorithms to suggest connections digitally. None require physical co-presence or bind connections to specific events. The trust signal in IN (I physically met this person at this event) is qualitatively different from algorithmic matching, and multiple apps in this space have failed or pivoted (Shapr shut down in 2023; Lunchclub is pivoting), suggesting that algorithm-only professional matching has not found sustainable product-market fit.</w:t>
      </w:r>
    </w:p>
    <w:p>
      <w:pPr>
        <w:pStyle w:val="Heading2"/>
      </w:pPr>
      <w:r>
        <w:t>2.5 Competitive Positioning Matrix</w:t>
      </w:r>
    </w:p>
    <w:tbl>
      <w:tblPr>
        <w:tblStyle w:val="LightGrid-Accent1"/>
        <w:tblW w:type="auto" w:w="0"/>
        <w:jc w:val="left"/>
        <w:tblLook w:firstColumn="1" w:firstRow="1" w:lastColumn="0" w:lastRow="0" w:noHBand="0" w:noVBand="1" w:val="04A0"/>
      </w:tblPr>
      <w:tblGrid>
        <w:gridCol w:w="1560"/>
        <w:gridCol w:w="1560"/>
        <w:gridCol w:w="1560"/>
        <w:gridCol w:w="1560"/>
        <w:gridCol w:w="1560"/>
        <w:gridCol w:w="1560"/>
      </w:tblGrid>
      <w:tr>
        <w:tc>
          <w:tcPr>
            <w:tcW w:type="dxa" w:w="2160"/>
          </w:tcPr>
          <w:p>
            <w:r/>
            <w:r>
              <w:rPr>
                <w:rFonts w:ascii="Arial" w:hAnsi="Arial"/>
                <w:b/>
                <w:sz w:val="20"/>
              </w:rPr>
              <w:t>Capability</w:t>
            </w:r>
          </w:p>
        </w:tc>
        <w:tc>
          <w:tcPr>
            <w:tcW w:type="dxa" w:w="1152"/>
          </w:tcPr>
          <w:p>
            <w:r/>
            <w:r>
              <w:rPr>
                <w:rFonts w:ascii="Arial" w:hAnsi="Arial"/>
                <w:b/>
                <w:sz w:val="20"/>
              </w:rPr>
              <w:t>IN</w:t>
            </w:r>
          </w:p>
        </w:tc>
        <w:tc>
          <w:tcPr>
            <w:tcW w:type="dxa" w:w="1728"/>
          </w:tcPr>
          <w:p>
            <w:r/>
            <w:r>
              <w:rPr>
                <w:rFonts w:ascii="Arial" w:hAnsi="Arial"/>
                <w:b/>
                <w:sz w:val="20"/>
              </w:rPr>
              <w:t>Swapcard/Grip/Brella</w:t>
            </w:r>
          </w:p>
        </w:tc>
        <w:tc>
          <w:tcPr>
            <w:tcW w:type="dxa" w:w="1728"/>
          </w:tcPr>
          <w:p>
            <w:r/>
            <w:r>
              <w:rPr>
                <w:rFonts w:ascii="Arial" w:hAnsi="Arial"/>
                <w:b/>
                <w:sz w:val="20"/>
              </w:rPr>
              <w:t>Popl/Blinq/HiHello</w:t>
            </w:r>
          </w:p>
        </w:tc>
        <w:tc>
          <w:tcPr>
            <w:tcW w:type="dxa" w:w="1728"/>
          </w:tcPr>
          <w:p>
            <w:r/>
            <w:r>
              <w:rPr>
                <w:rFonts w:ascii="Arial" w:hAnsi="Arial"/>
                <w:b/>
                <w:sz w:val="20"/>
              </w:rPr>
              <w:t>Model Mayhem/Behance</w:t>
            </w:r>
          </w:p>
        </w:tc>
        <w:tc>
          <w:tcPr>
            <w:tcW w:type="dxa" w:w="864"/>
          </w:tcPr>
          <w:p>
            <w:r/>
            <w:r>
              <w:rPr>
                <w:rFonts w:ascii="Arial" w:hAnsi="Arial"/>
                <w:b/>
                <w:sz w:val="20"/>
              </w:rPr>
              <w:t>LinkedIn</w:t>
            </w:r>
          </w:p>
        </w:tc>
      </w:tr>
      <w:tr>
        <w:tc>
          <w:tcPr>
            <w:tcW w:type="dxa" w:w="2160"/>
          </w:tcPr>
          <w:p>
            <w:r/>
            <w:r>
              <w:rPr>
                <w:rFonts w:ascii="Arial" w:hAnsi="Arial"/>
                <w:sz w:val="20"/>
              </w:rPr>
              <w:t>QR-based connection creation</w:t>
            </w:r>
          </w:p>
        </w:tc>
        <w:tc>
          <w:tcPr>
            <w:tcW w:type="dxa" w:w="1152"/>
          </w:tcPr>
          <w:p>
            <w:r/>
            <w:r>
              <w:rPr>
                <w:rFonts w:ascii="Arial" w:hAnsi="Arial"/>
                <w:sz w:val="20"/>
              </w:rPr>
              <w:t>Yes (exclusive)</w:t>
            </w:r>
          </w:p>
        </w:tc>
        <w:tc>
          <w:tcPr>
            <w:tcW w:type="dxa" w:w="1728"/>
          </w:tcPr>
          <w:p>
            <w:r/>
            <w:r>
              <w:rPr>
                <w:rFonts w:ascii="Arial" w:hAnsi="Arial"/>
                <w:sz w:val="20"/>
              </w:rPr>
              <w:t>Yes (one of many)</w:t>
            </w:r>
          </w:p>
        </w:tc>
        <w:tc>
          <w:tcPr>
            <w:tcW w:type="dxa" w:w="1728"/>
          </w:tcPr>
          <w:p>
            <w:r/>
            <w:r>
              <w:rPr>
                <w:rFonts w:ascii="Arial" w:hAnsi="Arial"/>
                <w:sz w:val="20"/>
              </w:rPr>
              <w:t>Yes (contact exchange)</w:t>
            </w:r>
          </w:p>
        </w:tc>
        <w:tc>
          <w:tcPr>
            <w:tcW w:type="dxa" w:w="1728"/>
          </w:tcPr>
          <w:p>
            <w:r/>
            <w:r>
              <w:rPr>
                <w:rFonts w:ascii="Arial" w:hAnsi="Arial"/>
                <w:sz w:val="20"/>
              </w:rPr>
              <w:t>No</w:t>
            </w:r>
          </w:p>
        </w:tc>
        <w:tc>
          <w:tcPr>
            <w:tcW w:type="dxa" w:w="864"/>
          </w:tcPr>
          <w:p>
            <w:r/>
            <w:r>
              <w:rPr>
                <w:rFonts w:ascii="Arial" w:hAnsi="Arial"/>
                <w:sz w:val="20"/>
              </w:rPr>
              <w:t>No</w:t>
            </w:r>
          </w:p>
        </w:tc>
      </w:tr>
      <w:tr>
        <w:tc>
          <w:tcPr>
            <w:tcW w:type="dxa" w:w="2160"/>
          </w:tcPr>
          <w:p>
            <w:r/>
            <w:r>
              <w:rPr>
                <w:rFonts w:ascii="Arial" w:hAnsi="Arial"/>
                <w:sz w:val="20"/>
              </w:rPr>
              <w:t>Persistent social graph</w:t>
            </w:r>
          </w:p>
        </w:tc>
        <w:tc>
          <w:tcPr>
            <w:tcW w:type="dxa" w:w="1152"/>
          </w:tcPr>
          <w:p>
            <w:r/>
            <w:r>
              <w:rPr>
                <w:rFonts w:ascii="Arial" w:hAnsi="Arial"/>
                <w:sz w:val="20"/>
              </w:rPr>
              <w:t>Yes</w:t>
            </w:r>
          </w:p>
        </w:tc>
        <w:tc>
          <w:tcPr>
            <w:tcW w:type="dxa" w:w="1728"/>
          </w:tcPr>
          <w:p>
            <w:r/>
            <w:r>
              <w:rPr>
                <w:rFonts w:ascii="Arial" w:hAnsi="Arial"/>
                <w:sz w:val="20"/>
              </w:rPr>
              <w:t>No (per-event)</w:t>
            </w:r>
          </w:p>
        </w:tc>
        <w:tc>
          <w:tcPr>
            <w:tcW w:type="dxa" w:w="1728"/>
          </w:tcPr>
          <w:p>
            <w:r/>
            <w:r>
              <w:rPr>
                <w:rFonts w:ascii="Arial" w:hAnsi="Arial"/>
                <w:sz w:val="20"/>
              </w:rPr>
              <w:t>No</w:t>
            </w:r>
          </w:p>
        </w:tc>
        <w:tc>
          <w:tcPr>
            <w:tcW w:type="dxa" w:w="1728"/>
          </w:tcPr>
          <w:p>
            <w:r/>
            <w:r>
              <w:rPr>
                <w:rFonts w:ascii="Arial" w:hAnsi="Arial"/>
                <w:sz w:val="20"/>
              </w:rPr>
              <w:t>Limited</w:t>
            </w:r>
          </w:p>
        </w:tc>
        <w:tc>
          <w:tcPr>
            <w:tcW w:type="dxa" w:w="864"/>
          </w:tcPr>
          <w:p>
            <w:r/>
            <w:r>
              <w:rPr>
                <w:rFonts w:ascii="Arial" w:hAnsi="Arial"/>
                <w:sz w:val="20"/>
              </w:rPr>
              <w:t>Yes</w:t>
            </w:r>
          </w:p>
        </w:tc>
      </w:tr>
      <w:tr>
        <w:tc>
          <w:tcPr>
            <w:tcW w:type="dxa" w:w="2160"/>
          </w:tcPr>
          <w:p>
            <w:r/>
            <w:r>
              <w:rPr>
                <w:rFonts w:ascii="Arial" w:hAnsi="Arial"/>
                <w:sz w:val="20"/>
              </w:rPr>
              <w:t>Event-bound connection metadata</w:t>
            </w:r>
          </w:p>
        </w:tc>
        <w:tc>
          <w:tcPr>
            <w:tcW w:type="dxa" w:w="1152"/>
          </w:tcPr>
          <w:p>
            <w:r/>
            <w:r>
              <w:rPr>
                <w:rFonts w:ascii="Arial" w:hAnsi="Arial"/>
                <w:sz w:val="20"/>
              </w:rPr>
              <w:t>Yes</w:t>
            </w:r>
          </w:p>
        </w:tc>
        <w:tc>
          <w:tcPr>
            <w:tcW w:type="dxa" w:w="1728"/>
          </w:tcPr>
          <w:p>
            <w:r/>
            <w:r>
              <w:rPr>
                <w:rFonts w:ascii="Arial" w:hAnsi="Arial"/>
                <w:sz w:val="20"/>
              </w:rPr>
              <w:t>Partial</w:t>
            </w:r>
          </w:p>
        </w:tc>
        <w:tc>
          <w:tcPr>
            <w:tcW w:type="dxa" w:w="1728"/>
          </w:tcPr>
          <w:p>
            <w:r/>
            <w:r>
              <w:rPr>
                <w:rFonts w:ascii="Arial" w:hAnsi="Arial"/>
                <w:sz w:val="20"/>
              </w:rPr>
              <w:t>No</w:t>
            </w:r>
          </w:p>
        </w:tc>
        <w:tc>
          <w:tcPr>
            <w:tcW w:type="dxa" w:w="1728"/>
          </w:tcPr>
          <w:p>
            <w:r/>
            <w:r>
              <w:rPr>
                <w:rFonts w:ascii="Arial" w:hAnsi="Arial"/>
                <w:sz w:val="20"/>
              </w:rPr>
              <w:t>No</w:t>
            </w:r>
          </w:p>
        </w:tc>
        <w:tc>
          <w:tcPr>
            <w:tcW w:type="dxa" w:w="864"/>
          </w:tcPr>
          <w:p>
            <w:r/>
            <w:r>
              <w:rPr>
                <w:rFonts w:ascii="Arial" w:hAnsi="Arial"/>
                <w:sz w:val="20"/>
              </w:rPr>
              <w:t>No</w:t>
            </w:r>
          </w:p>
        </w:tc>
      </w:tr>
      <w:tr>
        <w:tc>
          <w:tcPr>
            <w:tcW w:type="dxa" w:w="2160"/>
          </w:tcPr>
          <w:p>
            <w:r/>
            <w:r>
              <w:rPr>
                <w:rFonts w:ascii="Arial" w:hAnsi="Arial"/>
                <w:sz w:val="20"/>
              </w:rPr>
              <w:t>Physical proximity verification</w:t>
            </w:r>
          </w:p>
        </w:tc>
        <w:tc>
          <w:tcPr>
            <w:tcW w:type="dxa" w:w="1152"/>
          </w:tcPr>
          <w:p>
            <w:r/>
            <w:r>
              <w:rPr>
                <w:rFonts w:ascii="Arial" w:hAnsi="Arial"/>
                <w:sz w:val="20"/>
              </w:rPr>
              <w:t>Yes (required)</w:t>
            </w:r>
          </w:p>
        </w:tc>
        <w:tc>
          <w:tcPr>
            <w:tcW w:type="dxa" w:w="1728"/>
          </w:tcPr>
          <w:p>
            <w:r/>
            <w:r>
              <w:rPr>
                <w:rFonts w:ascii="Arial" w:hAnsi="Arial"/>
                <w:sz w:val="20"/>
              </w:rPr>
              <w:t>Partial</w:t>
            </w:r>
          </w:p>
        </w:tc>
        <w:tc>
          <w:tcPr>
            <w:tcW w:type="dxa" w:w="1728"/>
          </w:tcPr>
          <w:p>
            <w:r/>
            <w:r>
              <w:rPr>
                <w:rFonts w:ascii="Arial" w:hAnsi="Arial"/>
                <w:sz w:val="20"/>
              </w:rPr>
              <w:t>Optional</w:t>
            </w:r>
          </w:p>
        </w:tc>
        <w:tc>
          <w:tcPr>
            <w:tcW w:type="dxa" w:w="1728"/>
          </w:tcPr>
          <w:p>
            <w:r/>
            <w:r>
              <w:rPr>
                <w:rFonts w:ascii="Arial" w:hAnsi="Arial"/>
                <w:sz w:val="20"/>
              </w:rPr>
              <w:t>No</w:t>
            </w:r>
          </w:p>
        </w:tc>
        <w:tc>
          <w:tcPr>
            <w:tcW w:type="dxa" w:w="864"/>
          </w:tcPr>
          <w:p>
            <w:r/>
            <w:r>
              <w:rPr>
                <w:rFonts w:ascii="Arial" w:hAnsi="Arial"/>
                <w:sz w:val="20"/>
              </w:rPr>
              <w:t>No</w:t>
            </w:r>
          </w:p>
        </w:tc>
      </w:tr>
      <w:tr>
        <w:tc>
          <w:tcPr>
            <w:tcW w:type="dxa" w:w="2160"/>
          </w:tcPr>
          <w:p>
            <w:r/>
            <w:r>
              <w:rPr>
                <w:rFonts w:ascii="Arial" w:hAnsi="Arial"/>
                <w:sz w:val="20"/>
              </w:rPr>
              <w:t>Behavioral verification ladder</w:t>
            </w:r>
          </w:p>
        </w:tc>
        <w:tc>
          <w:tcPr>
            <w:tcW w:type="dxa" w:w="1152"/>
          </w:tcPr>
          <w:p>
            <w:r/>
            <w:r>
              <w:rPr>
                <w:rFonts w:ascii="Arial" w:hAnsi="Arial"/>
                <w:sz w:val="20"/>
              </w:rPr>
              <w:t>Yes</w:t>
            </w:r>
          </w:p>
        </w:tc>
        <w:tc>
          <w:tcPr>
            <w:tcW w:type="dxa" w:w="1728"/>
          </w:tcPr>
          <w:p>
            <w:r/>
            <w:r>
              <w:rPr>
                <w:rFonts w:ascii="Arial" w:hAnsi="Arial"/>
                <w:sz w:val="20"/>
              </w:rPr>
              <w:t>No</w:t>
            </w:r>
          </w:p>
        </w:tc>
        <w:tc>
          <w:tcPr>
            <w:tcW w:type="dxa" w:w="1728"/>
          </w:tcPr>
          <w:p>
            <w:r/>
            <w:r>
              <w:rPr>
                <w:rFonts w:ascii="Arial" w:hAnsi="Arial"/>
                <w:sz w:val="20"/>
              </w:rPr>
              <w:t>No</w:t>
            </w:r>
          </w:p>
        </w:tc>
        <w:tc>
          <w:tcPr>
            <w:tcW w:type="dxa" w:w="1728"/>
          </w:tcPr>
          <w:p>
            <w:r/>
            <w:r>
              <w:rPr>
                <w:rFonts w:ascii="Arial" w:hAnsi="Arial"/>
                <w:sz w:val="20"/>
              </w:rPr>
              <w:t>No</w:t>
            </w:r>
          </w:p>
        </w:tc>
        <w:tc>
          <w:tcPr>
            <w:tcW w:type="dxa" w:w="864"/>
          </w:tcPr>
          <w:p>
            <w:r/>
            <w:r>
              <w:rPr>
                <w:rFonts w:ascii="Arial" w:hAnsi="Arial"/>
                <w:sz w:val="20"/>
              </w:rPr>
              <w:t>No</w:t>
            </w:r>
          </w:p>
        </w:tc>
      </w:tr>
      <w:tr>
        <w:tc>
          <w:tcPr>
            <w:tcW w:type="dxa" w:w="2160"/>
          </w:tcPr>
          <w:p>
            <w:r/>
            <w:r>
              <w:rPr>
                <w:rFonts w:ascii="Arial" w:hAnsi="Arial"/>
                <w:sz w:val="20"/>
              </w:rPr>
              <w:t>Community feed</w:t>
            </w:r>
          </w:p>
        </w:tc>
        <w:tc>
          <w:tcPr>
            <w:tcW w:type="dxa" w:w="1152"/>
          </w:tcPr>
          <w:p>
            <w:r/>
            <w:r>
              <w:rPr>
                <w:rFonts w:ascii="Arial" w:hAnsi="Arial"/>
                <w:sz w:val="20"/>
              </w:rPr>
              <w:t>Planned</w:t>
            </w:r>
          </w:p>
        </w:tc>
        <w:tc>
          <w:tcPr>
            <w:tcW w:type="dxa" w:w="1728"/>
          </w:tcPr>
          <w:p>
            <w:r/>
            <w:r>
              <w:rPr>
                <w:rFonts w:ascii="Arial" w:hAnsi="Arial"/>
                <w:sz w:val="20"/>
              </w:rPr>
              <w:t>No</w:t>
            </w:r>
          </w:p>
        </w:tc>
        <w:tc>
          <w:tcPr>
            <w:tcW w:type="dxa" w:w="1728"/>
          </w:tcPr>
          <w:p>
            <w:r/>
            <w:r>
              <w:rPr>
                <w:rFonts w:ascii="Arial" w:hAnsi="Arial"/>
                <w:sz w:val="20"/>
              </w:rPr>
              <w:t>No</w:t>
            </w:r>
          </w:p>
        </w:tc>
        <w:tc>
          <w:tcPr>
            <w:tcW w:type="dxa" w:w="1728"/>
          </w:tcPr>
          <w:p>
            <w:r/>
            <w:r>
              <w:rPr>
                <w:rFonts w:ascii="Arial" w:hAnsi="Arial"/>
                <w:sz w:val="20"/>
              </w:rPr>
              <w:t>Partial</w:t>
            </w:r>
          </w:p>
        </w:tc>
        <w:tc>
          <w:tcPr>
            <w:tcW w:type="dxa" w:w="864"/>
          </w:tcPr>
          <w:p>
            <w:r/>
            <w:r>
              <w:rPr>
                <w:rFonts w:ascii="Arial" w:hAnsi="Arial"/>
                <w:sz w:val="20"/>
              </w:rPr>
              <w:t>Yes</w:t>
            </w:r>
          </w:p>
        </w:tc>
      </w:tr>
      <w:tr>
        <w:tc>
          <w:tcPr>
            <w:tcW w:type="dxa" w:w="2160"/>
          </w:tcPr>
          <w:p>
            <w:r/>
            <w:r>
              <w:rPr>
                <w:rFonts w:ascii="Arial" w:hAnsi="Arial"/>
                <w:sz w:val="20"/>
              </w:rPr>
              <w:t>Professional specialty taxonomy</w:t>
            </w:r>
          </w:p>
        </w:tc>
        <w:tc>
          <w:tcPr>
            <w:tcW w:type="dxa" w:w="1152"/>
          </w:tcPr>
          <w:p>
            <w:r/>
            <w:r>
              <w:rPr>
                <w:rFonts w:ascii="Arial" w:hAnsi="Arial"/>
                <w:sz w:val="20"/>
              </w:rPr>
              <w:t>Yes (structured)</w:t>
            </w:r>
          </w:p>
        </w:tc>
        <w:tc>
          <w:tcPr>
            <w:tcW w:type="dxa" w:w="1728"/>
          </w:tcPr>
          <w:p>
            <w:r/>
            <w:r>
              <w:rPr>
                <w:rFonts w:ascii="Arial" w:hAnsi="Arial"/>
                <w:sz w:val="20"/>
              </w:rPr>
              <w:t>Ad hoc</w:t>
            </w:r>
          </w:p>
        </w:tc>
        <w:tc>
          <w:tcPr>
            <w:tcW w:type="dxa" w:w="1728"/>
          </w:tcPr>
          <w:p>
            <w:r/>
            <w:r>
              <w:rPr>
                <w:rFonts w:ascii="Arial" w:hAnsi="Arial"/>
                <w:sz w:val="20"/>
              </w:rPr>
              <w:t>No</w:t>
            </w:r>
          </w:p>
        </w:tc>
        <w:tc>
          <w:tcPr>
            <w:tcW w:type="dxa" w:w="1728"/>
          </w:tcPr>
          <w:p>
            <w:r/>
            <w:r>
              <w:rPr>
                <w:rFonts w:ascii="Arial" w:hAnsi="Arial"/>
                <w:sz w:val="20"/>
              </w:rPr>
              <w:t>Yes</w:t>
            </w:r>
          </w:p>
        </w:tc>
        <w:tc>
          <w:tcPr>
            <w:tcW w:type="dxa" w:w="864"/>
          </w:tcPr>
          <w:p>
            <w:r/>
            <w:r>
              <w:rPr>
                <w:rFonts w:ascii="Arial" w:hAnsi="Arial"/>
                <w:sz w:val="20"/>
              </w:rPr>
              <w:t>Self-reported</w:t>
            </w:r>
          </w:p>
        </w:tc>
      </w:tr>
      <w:tr>
        <w:tc>
          <w:tcPr>
            <w:tcW w:type="dxa" w:w="2160"/>
          </w:tcPr>
          <w:p>
            <w:r/>
            <w:r>
              <w:rPr>
                <w:rFonts w:ascii="Arial" w:hAnsi="Arial"/>
                <w:sz w:val="20"/>
              </w:rPr>
              <w:t>Cross-specialty affinity data</w:t>
            </w:r>
          </w:p>
        </w:tc>
        <w:tc>
          <w:tcPr>
            <w:tcW w:type="dxa" w:w="1152"/>
          </w:tcPr>
          <w:p>
            <w:r/>
            <w:r>
              <w:rPr>
                <w:rFonts w:ascii="Arial" w:hAnsi="Arial"/>
                <w:sz w:val="20"/>
              </w:rPr>
              <w:t>Derivable</w:t>
            </w:r>
          </w:p>
        </w:tc>
        <w:tc>
          <w:tcPr>
            <w:tcW w:type="dxa" w:w="1728"/>
          </w:tcPr>
          <w:p>
            <w:r/>
            <w:r>
              <w:rPr>
                <w:rFonts w:ascii="Arial" w:hAnsi="Arial"/>
                <w:sz w:val="20"/>
              </w:rPr>
              <w:t>No</w:t>
            </w:r>
          </w:p>
        </w:tc>
        <w:tc>
          <w:tcPr>
            <w:tcW w:type="dxa" w:w="1728"/>
          </w:tcPr>
          <w:p>
            <w:r/>
            <w:r>
              <w:rPr>
                <w:rFonts w:ascii="Arial" w:hAnsi="Arial"/>
                <w:sz w:val="20"/>
              </w:rPr>
              <w:t>No</w:t>
            </w:r>
          </w:p>
        </w:tc>
        <w:tc>
          <w:tcPr>
            <w:tcW w:type="dxa" w:w="1728"/>
          </w:tcPr>
          <w:p>
            <w:r/>
            <w:r>
              <w:rPr>
                <w:rFonts w:ascii="Arial" w:hAnsi="Arial"/>
                <w:sz w:val="20"/>
              </w:rPr>
              <w:t>No</w:t>
            </w:r>
          </w:p>
        </w:tc>
        <w:tc>
          <w:tcPr>
            <w:tcW w:type="dxa" w:w="864"/>
          </w:tcPr>
          <w:p>
            <w:r/>
            <w:r>
              <w:rPr>
                <w:rFonts w:ascii="Arial" w:hAnsi="Arial"/>
                <w:sz w:val="20"/>
              </w:rPr>
              <w:t>No</w:t>
            </w:r>
          </w:p>
        </w:tc>
      </w:tr>
      <w:tr>
        <w:tc>
          <w:tcPr>
            <w:tcW w:type="dxa" w:w="2160"/>
          </w:tcPr>
          <w:p>
            <w:r/>
            <w:r>
              <w:rPr>
                <w:rFonts w:ascii="Arial" w:hAnsi="Arial"/>
                <w:sz w:val="20"/>
              </w:rPr>
              <w:t>Sponsor audience intelligence</w:t>
            </w:r>
          </w:p>
        </w:tc>
        <w:tc>
          <w:tcPr>
            <w:tcW w:type="dxa" w:w="1152"/>
          </w:tcPr>
          <w:p>
            <w:r/>
            <w:r>
              <w:rPr>
                <w:rFonts w:ascii="Arial" w:hAnsi="Arial"/>
                <w:sz w:val="20"/>
              </w:rPr>
              <w:t>Architecture exists</w:t>
            </w:r>
          </w:p>
        </w:tc>
        <w:tc>
          <w:tcPr>
            <w:tcW w:type="dxa" w:w="1728"/>
          </w:tcPr>
          <w:p>
            <w:r/>
            <w:r>
              <w:rPr>
                <w:rFonts w:ascii="Arial" w:hAnsi="Arial"/>
                <w:sz w:val="20"/>
              </w:rPr>
              <w:t>Partial</w:t>
            </w:r>
          </w:p>
        </w:tc>
        <w:tc>
          <w:tcPr>
            <w:tcW w:type="dxa" w:w="1728"/>
          </w:tcPr>
          <w:p>
            <w:r/>
            <w:r>
              <w:rPr>
                <w:rFonts w:ascii="Arial" w:hAnsi="Arial"/>
                <w:sz w:val="20"/>
              </w:rPr>
              <w:t>No</w:t>
            </w:r>
          </w:p>
        </w:tc>
        <w:tc>
          <w:tcPr>
            <w:tcW w:type="dxa" w:w="1728"/>
          </w:tcPr>
          <w:p>
            <w:r/>
            <w:r>
              <w:rPr>
                <w:rFonts w:ascii="Arial" w:hAnsi="Arial"/>
                <w:sz w:val="20"/>
              </w:rPr>
              <w:t>No</w:t>
            </w:r>
          </w:p>
        </w:tc>
        <w:tc>
          <w:tcPr>
            <w:tcW w:type="dxa" w:w="864"/>
          </w:tcPr>
          <w:p>
            <w:r/>
            <w:r>
              <w:rPr>
                <w:rFonts w:ascii="Arial" w:hAnsi="Arial"/>
                <w:sz w:val="20"/>
              </w:rPr>
              <w:t>Yes (ads platform)</w:t>
            </w:r>
          </w:p>
        </w:tc>
      </w:tr>
      <w:tr>
        <w:tc>
          <w:tcPr>
            <w:tcW w:type="dxa" w:w="2160"/>
          </w:tcPr>
          <w:p>
            <w:r/>
            <w:r>
              <w:rPr>
                <w:rFonts w:ascii="Arial" w:hAnsi="Arial"/>
                <w:sz w:val="20"/>
              </w:rPr>
              <w:t>Post-event engagement</w:t>
            </w:r>
          </w:p>
        </w:tc>
        <w:tc>
          <w:tcPr>
            <w:tcW w:type="dxa" w:w="1152"/>
          </w:tcPr>
          <w:p>
            <w:r/>
            <w:r>
              <w:rPr>
                <w:rFonts w:ascii="Arial" w:hAnsi="Arial"/>
                <w:sz w:val="20"/>
              </w:rPr>
              <w:t>Planned</w:t>
            </w:r>
          </w:p>
        </w:tc>
        <w:tc>
          <w:tcPr>
            <w:tcW w:type="dxa" w:w="1728"/>
          </w:tcPr>
          <w:p>
            <w:r/>
            <w:r>
              <w:rPr>
                <w:rFonts w:ascii="Arial" w:hAnsi="Arial"/>
                <w:sz w:val="20"/>
              </w:rPr>
              <w:t>Minimal</w:t>
            </w:r>
          </w:p>
        </w:tc>
        <w:tc>
          <w:tcPr>
            <w:tcW w:type="dxa" w:w="1728"/>
          </w:tcPr>
          <w:p>
            <w:r/>
            <w:r>
              <w:rPr>
                <w:rFonts w:ascii="Arial" w:hAnsi="Arial"/>
                <w:sz w:val="20"/>
              </w:rPr>
              <w:t>No</w:t>
            </w:r>
          </w:p>
        </w:tc>
        <w:tc>
          <w:tcPr>
            <w:tcW w:type="dxa" w:w="1728"/>
          </w:tcPr>
          <w:p>
            <w:r/>
            <w:r>
              <w:rPr>
                <w:rFonts w:ascii="Arial" w:hAnsi="Arial"/>
                <w:sz w:val="20"/>
              </w:rPr>
              <w:t>N/A</w:t>
            </w:r>
          </w:p>
        </w:tc>
        <w:tc>
          <w:tcPr>
            <w:tcW w:type="dxa" w:w="864"/>
          </w:tcPr>
          <w:p>
            <w:r/>
            <w:r>
              <w:rPr>
                <w:rFonts w:ascii="Arial" w:hAnsi="Arial"/>
                <w:sz w:val="20"/>
              </w:rPr>
              <w:t>Yes</w:t>
            </w:r>
          </w:p>
        </w:tc>
      </w:tr>
      <w:tr>
        <w:tc>
          <w:tcPr>
            <w:tcW w:type="dxa" w:w="2160"/>
          </w:tcPr>
          <w:p>
            <w:r/>
            <w:r>
              <w:rPr>
                <w:rFonts w:ascii="Arial" w:hAnsi="Arial"/>
                <w:sz w:val="20"/>
              </w:rPr>
              <w:t>Vertical focus (creatives)</w:t>
            </w:r>
          </w:p>
        </w:tc>
        <w:tc>
          <w:tcPr>
            <w:tcW w:type="dxa" w:w="1152"/>
          </w:tcPr>
          <w:p>
            <w:r/>
            <w:r>
              <w:rPr>
                <w:rFonts w:ascii="Arial" w:hAnsi="Arial"/>
                <w:sz w:val="20"/>
              </w:rPr>
              <w:t>Yes</w:t>
            </w:r>
          </w:p>
        </w:tc>
        <w:tc>
          <w:tcPr>
            <w:tcW w:type="dxa" w:w="1728"/>
          </w:tcPr>
          <w:p>
            <w:r/>
            <w:r>
              <w:rPr>
                <w:rFonts w:ascii="Arial" w:hAnsi="Arial"/>
                <w:sz w:val="20"/>
              </w:rPr>
              <w:t>Horizontal</w:t>
            </w:r>
          </w:p>
        </w:tc>
        <w:tc>
          <w:tcPr>
            <w:tcW w:type="dxa" w:w="1728"/>
          </w:tcPr>
          <w:p>
            <w:r/>
            <w:r>
              <w:rPr>
                <w:rFonts w:ascii="Arial" w:hAnsi="Arial"/>
                <w:sz w:val="20"/>
              </w:rPr>
              <w:t>Horizontal</w:t>
            </w:r>
          </w:p>
        </w:tc>
        <w:tc>
          <w:tcPr>
            <w:tcW w:type="dxa" w:w="1728"/>
          </w:tcPr>
          <w:p>
            <w:r/>
            <w:r>
              <w:rPr>
                <w:rFonts w:ascii="Arial" w:hAnsi="Arial"/>
                <w:sz w:val="20"/>
              </w:rPr>
              <w:t>Yes</w:t>
            </w:r>
          </w:p>
        </w:tc>
        <w:tc>
          <w:tcPr>
            <w:tcW w:type="dxa" w:w="864"/>
          </w:tcPr>
          <w:p>
            <w:r/>
            <w:r>
              <w:rPr>
                <w:rFonts w:ascii="Arial" w:hAnsi="Arial"/>
                <w:sz w:val="20"/>
              </w:rPr>
              <w:t>Horizontal</w:t>
            </w:r>
          </w:p>
        </w:tc>
      </w:tr>
    </w:tbl>
    <w:p/>
    <w:p>
      <w:r>
        <w:br w:type="page"/>
      </w:r>
    </w:p>
    <w:p>
      <w:pPr>
        <w:pStyle w:val="Heading1"/>
      </w:pPr>
      <w:r>
        <w:t>Part 3: Adjacent Verticals</w:t>
      </w:r>
    </w:p>
    <w:p>
      <w:pPr>
        <w:spacing w:after="240" w:before="0"/>
      </w:pPr>
      <w:r>
        <w:rPr>
          <w:b w:val="0"/>
        </w:rPr>
        <w:t>IN's methodology — event-first, proximity-verified, specialty-tagged professional networking with behavioral verification and derived audience intelligence — is not limited to creative professionals. This section identifies other communities where the same model could be customized and monetized.</w:t>
      </w:r>
    </w:p>
    <w:p>
      <w:pPr>
        <w:pStyle w:val="Heading2"/>
      </w:pPr>
      <w:r>
        <w:t>3.1 Vertical Analysis Framework</w:t>
      </w:r>
    </w:p>
    <w:p>
      <w:pPr>
        <w:spacing w:after="160" w:before="0"/>
      </w:pPr>
      <w:r>
        <w:rPr>
          <w:b w:val="0"/>
        </w:rPr>
        <w:t>A vertical is a strong candidate for the IN model when it exhibits these characteristics:</w:t>
      </w:r>
    </w:p>
    <w:p>
      <w:pPr>
        <w:pStyle w:val="ListBullet"/>
      </w:pPr>
      <w:r>
        <w:rPr>
          <w:rFonts w:ascii="Arial" w:hAnsi="Arial"/>
          <w:sz w:val="20"/>
        </w:rPr>
        <w:t>Regular in-person events where professionals gather (the event-first prerequisite)</w:t>
      </w:r>
    </w:p>
    <w:p>
      <w:pPr>
        <w:pStyle w:val="ListBullet"/>
      </w:pPr>
      <w:r>
        <w:rPr>
          <w:rFonts w:ascii="Arial" w:hAnsi="Arial"/>
          <w:sz w:val="20"/>
        </w:rPr>
        <w:t>A fragmented professional community not well-served by LinkedIn or industry-specific digital platforms</w:t>
      </w:r>
    </w:p>
    <w:p>
      <w:pPr>
        <w:pStyle w:val="ListBullet"/>
      </w:pPr>
      <w:r>
        <w:rPr>
          <w:rFonts w:ascii="Arial" w:hAnsi="Arial"/>
          <w:sz w:val="20"/>
        </w:rPr>
        <w:t>Professional specialties/roles that create natural cross-specialty collaboration opportunities</w:t>
      </w:r>
    </w:p>
    <w:p>
      <w:pPr>
        <w:pStyle w:val="ListBullet"/>
      </w:pPr>
      <w:r>
        <w:rPr>
          <w:rFonts w:ascii="Arial" w:hAnsi="Arial"/>
          <w:sz w:val="20"/>
        </w:rPr>
        <w:t>Sponsors and vendors who want to reach the community but lack audience intelligence</w:t>
      </w:r>
    </w:p>
    <w:p>
      <w:pPr>
        <w:pStyle w:val="ListBullet"/>
      </w:pPr>
      <w:r>
        <w:rPr>
          <w:rFonts w:ascii="Arial" w:hAnsi="Arial"/>
          <w:sz w:val="20"/>
        </w:rPr>
        <w:t>Trust matters — knowing someone was physically present at a professional event carries weight</w:t>
      </w:r>
    </w:p>
    <w:p>
      <w:pPr>
        <w:pStyle w:val="ListBullet"/>
      </w:pPr>
      <w:r>
        <w:rPr>
          <w:rFonts w:ascii="Arial" w:hAnsi="Arial"/>
          <w:sz w:val="20"/>
        </w:rPr>
        <w:t>The community is underbanked by existing social platforms (Instagram is content-first, LinkedIn is too broad)</w:t>
      </w:r>
    </w:p>
    <w:p/>
    <w:p>
      <w:pPr>
        <w:pStyle w:val="Heading2"/>
      </w:pPr>
      <w:r>
        <w:t>3.2 High-Affinity Verticals</w:t>
      </w:r>
    </w:p>
    <w:p>
      <w:pPr>
        <w:spacing w:after="80" w:before="0"/>
      </w:pPr>
      <w:r>
        <w:rPr>
          <w:b/>
          <w:sz w:val="24"/>
        </w:rPr>
        <w:t>A. Music Industry / Independent Music</w:t>
      </w:r>
    </w:p>
    <w:tbl>
      <w:tblPr>
        <w:tblStyle w:val="LightGrid-Accent1"/>
        <w:tblW w:type="auto" w:w="0"/>
        <w:jc w:val="left"/>
        <w:tblLook w:firstColumn="1" w:firstRow="1" w:lastColumn="0" w:lastRow="0" w:noHBand="0" w:noVBand="1" w:val="04A0"/>
      </w:tblPr>
      <w:tblGrid>
        <w:gridCol w:w="4680"/>
        <w:gridCol w:w="4680"/>
      </w:tblGrid>
      <w:tr>
        <w:tc>
          <w:tcPr>
            <w:tcW w:type="dxa" w:w="2160"/>
          </w:tcPr>
          <w:p>
            <w:r/>
            <w:r>
              <w:rPr>
                <w:rFonts w:ascii="Arial" w:hAnsi="Arial"/>
                <w:b/>
                <w:sz w:val="20"/>
              </w:rPr>
              <w:t>Dimension</w:t>
            </w:r>
          </w:p>
        </w:tc>
        <w:tc>
          <w:tcPr>
            <w:tcW w:type="dxa" w:w="7200"/>
          </w:tcPr>
          <w:p>
            <w:r/>
            <w:r>
              <w:rPr>
                <w:rFonts w:ascii="Arial" w:hAnsi="Arial"/>
                <w:b/>
                <w:sz w:val="20"/>
              </w:rPr>
              <w:t>Details</w:t>
            </w:r>
          </w:p>
        </w:tc>
      </w:tr>
      <w:tr>
        <w:tc>
          <w:tcPr>
            <w:tcW w:type="dxa" w:w="2160"/>
          </w:tcPr>
          <w:p>
            <w:r/>
            <w:r>
              <w:rPr>
                <w:rFonts w:ascii="Arial" w:hAnsi="Arial"/>
                <w:sz w:val="20"/>
              </w:rPr>
              <w:t>Events</w:t>
            </w:r>
          </w:p>
        </w:tc>
        <w:tc>
          <w:tcPr>
            <w:tcW w:type="dxa" w:w="7200"/>
          </w:tcPr>
          <w:p>
            <w:r/>
            <w:r>
              <w:rPr>
                <w:rFonts w:ascii="Arial" w:hAnsi="Arial"/>
                <w:sz w:val="20"/>
              </w:rPr>
              <w:t>Open mics, showcases, music industry mixers, songwriter rounds, label networking nights, music conferences (SXSW, A3C, CMJ)</w:t>
            </w:r>
          </w:p>
        </w:tc>
      </w:tr>
      <w:tr>
        <w:tc>
          <w:tcPr>
            <w:tcW w:type="dxa" w:w="2160"/>
          </w:tcPr>
          <w:p>
            <w:r/>
            <w:r>
              <w:rPr>
                <w:rFonts w:ascii="Arial" w:hAnsi="Arial"/>
                <w:sz w:val="20"/>
              </w:rPr>
              <w:t>Specialties</w:t>
            </w:r>
          </w:p>
        </w:tc>
        <w:tc>
          <w:tcPr>
            <w:tcW w:type="dxa" w:w="7200"/>
          </w:tcPr>
          <w:p>
            <w:r/>
            <w:r>
              <w:rPr>
                <w:rFonts w:ascii="Arial" w:hAnsi="Arial"/>
                <w:sz w:val="20"/>
              </w:rPr>
              <w:t>Vocalist, producer, songwriter, DJ, sound engineer, A&amp;R, manager, booking agent, session musician</w:t>
            </w:r>
          </w:p>
        </w:tc>
      </w:tr>
      <w:tr>
        <w:tc>
          <w:tcPr>
            <w:tcW w:type="dxa" w:w="2160"/>
          </w:tcPr>
          <w:p>
            <w:r/>
            <w:r>
              <w:rPr>
                <w:rFonts w:ascii="Arial" w:hAnsi="Arial"/>
                <w:sz w:val="20"/>
              </w:rPr>
              <w:t>Cross-specialty affinity</w:t>
            </w:r>
          </w:p>
        </w:tc>
        <w:tc>
          <w:tcPr>
            <w:tcW w:type="dxa" w:w="7200"/>
          </w:tcPr>
          <w:p>
            <w:r/>
            <w:r>
              <w:rPr>
                <w:rFonts w:ascii="Arial" w:hAnsi="Arial"/>
                <w:sz w:val="20"/>
              </w:rPr>
              <w:t>Producers + vocalists, songwriters + producers, artists + managers — high collaboration potential</w:t>
            </w:r>
          </w:p>
        </w:tc>
      </w:tr>
      <w:tr>
        <w:tc>
          <w:tcPr>
            <w:tcW w:type="dxa" w:w="2160"/>
          </w:tcPr>
          <w:p>
            <w:r/>
            <w:r>
              <w:rPr>
                <w:rFonts w:ascii="Arial" w:hAnsi="Arial"/>
                <w:sz w:val="20"/>
              </w:rPr>
              <w:t>Sponsor types</w:t>
            </w:r>
          </w:p>
        </w:tc>
        <w:tc>
          <w:tcPr>
            <w:tcW w:type="dxa" w:w="7200"/>
          </w:tcPr>
          <w:p>
            <w:r/>
            <w:r>
              <w:rPr>
                <w:rFonts w:ascii="Arial" w:hAnsi="Arial"/>
                <w:sz w:val="20"/>
              </w:rPr>
              <w:t>DAW companies (Ableton, FL Studio), instrument brands, streaming platforms, music distributors, studios</w:t>
            </w:r>
          </w:p>
        </w:tc>
      </w:tr>
      <w:tr>
        <w:tc>
          <w:tcPr>
            <w:tcW w:type="dxa" w:w="2160"/>
          </w:tcPr>
          <w:p>
            <w:r/>
            <w:r>
              <w:rPr>
                <w:rFonts w:ascii="Arial" w:hAnsi="Arial"/>
                <w:sz w:val="20"/>
              </w:rPr>
              <w:t>Why it fits</w:t>
            </w:r>
          </w:p>
        </w:tc>
        <w:tc>
          <w:tcPr>
            <w:tcW w:type="dxa" w:w="7200"/>
          </w:tcPr>
          <w:p>
            <w:r/>
            <w:r>
              <w:rPr>
                <w:rFonts w:ascii="Arial" w:hAnsi="Arial"/>
                <w:sz w:val="20"/>
              </w:rPr>
              <w:t>Highly fragmented community. Events are central to discovery. "I met this producer at a showcase" is a trust signal. Existing platforms (SoundCloud, Bandcamp) are content-first, not networking-first.</w:t>
            </w:r>
          </w:p>
        </w:tc>
      </w:tr>
      <w:tr>
        <w:tc>
          <w:tcPr>
            <w:tcW w:type="dxa" w:w="2160"/>
          </w:tcPr>
          <w:p>
            <w:r/>
            <w:r>
              <w:rPr>
                <w:rFonts w:ascii="Arial" w:hAnsi="Arial"/>
                <w:sz w:val="20"/>
              </w:rPr>
              <w:t>Market size</w:t>
            </w:r>
          </w:p>
        </w:tc>
        <w:tc>
          <w:tcPr>
            <w:tcW w:type="dxa" w:w="7200"/>
          </w:tcPr>
          <w:p>
            <w:r/>
            <w:r>
              <w:rPr>
                <w:rFonts w:ascii="Arial" w:hAnsi="Arial"/>
                <w:sz w:val="20"/>
              </w:rPr>
              <w:t>There are ~2 million independent musicians in the US alone. Music networking events are ubiquitous in every major city.</w:t>
            </w:r>
          </w:p>
        </w:tc>
      </w:tr>
      <w:tr>
        <w:tc>
          <w:tcPr>
            <w:tcW w:type="dxa" w:w="2160"/>
          </w:tcPr>
          <w:p>
            <w:r/>
            <w:r>
              <w:rPr>
                <w:rFonts w:ascii="Arial" w:hAnsi="Arial"/>
                <w:sz w:val="20"/>
              </w:rPr>
              <w:t>Monetization</w:t>
            </w:r>
          </w:p>
        </w:tc>
        <w:tc>
          <w:tcPr>
            <w:tcW w:type="dxa" w:w="7200"/>
          </w:tcPr>
          <w:p>
            <w:r/>
            <w:r>
              <w:rPr>
                <w:rFonts w:ascii="Arial" w:hAnsi="Arial"/>
                <w:sz w:val="20"/>
              </w:rPr>
              <w:t>Equipment/software sponsors have high willingness to pay for verified audience access. Producer-vocalist affinity data is valuable.</w:t>
            </w:r>
          </w:p>
        </w:tc>
      </w:tr>
    </w:tbl>
    <w:p/>
    <w:p>
      <w:pPr>
        <w:spacing w:after="80" w:before="0"/>
      </w:pPr>
      <w:r>
        <w:rPr>
          <w:b/>
          <w:sz w:val="24"/>
        </w:rPr>
        <w:t>B. Culinary &amp; Food/Beverage Industry</w:t>
      </w:r>
    </w:p>
    <w:tbl>
      <w:tblPr>
        <w:tblStyle w:val="LightGrid-Accent1"/>
        <w:tblW w:type="auto" w:w="0"/>
        <w:jc w:val="left"/>
        <w:tblLook w:firstColumn="1" w:firstRow="1" w:lastColumn="0" w:lastRow="0" w:noHBand="0" w:noVBand="1" w:val="04A0"/>
      </w:tblPr>
      <w:tblGrid>
        <w:gridCol w:w="4680"/>
        <w:gridCol w:w="4680"/>
      </w:tblGrid>
      <w:tr>
        <w:tc>
          <w:tcPr>
            <w:tcW w:type="dxa" w:w="2160"/>
          </w:tcPr>
          <w:p>
            <w:r/>
            <w:r>
              <w:rPr>
                <w:rFonts w:ascii="Arial" w:hAnsi="Arial"/>
                <w:b/>
                <w:sz w:val="20"/>
              </w:rPr>
              <w:t>Dimension</w:t>
            </w:r>
          </w:p>
        </w:tc>
        <w:tc>
          <w:tcPr>
            <w:tcW w:type="dxa" w:w="7200"/>
          </w:tcPr>
          <w:p>
            <w:r/>
            <w:r>
              <w:rPr>
                <w:rFonts w:ascii="Arial" w:hAnsi="Arial"/>
                <w:b/>
                <w:sz w:val="20"/>
              </w:rPr>
              <w:t>Details</w:t>
            </w:r>
          </w:p>
        </w:tc>
      </w:tr>
      <w:tr>
        <w:tc>
          <w:tcPr>
            <w:tcW w:type="dxa" w:w="2160"/>
          </w:tcPr>
          <w:p>
            <w:r/>
            <w:r>
              <w:rPr>
                <w:rFonts w:ascii="Arial" w:hAnsi="Arial"/>
                <w:sz w:val="20"/>
              </w:rPr>
              <w:t>Events</w:t>
            </w:r>
          </w:p>
        </w:tc>
        <w:tc>
          <w:tcPr>
            <w:tcW w:type="dxa" w:w="7200"/>
          </w:tcPr>
          <w:p>
            <w:r/>
            <w:r>
              <w:rPr>
                <w:rFonts w:ascii="Arial" w:hAnsi="Arial"/>
                <w:sz w:val="20"/>
              </w:rPr>
              <w:t>Chef pop-ups, food festivals, sommelier tastings, restaurant industry nights, culinary competitions, farmers market mixers</w:t>
            </w:r>
          </w:p>
        </w:tc>
      </w:tr>
      <w:tr>
        <w:tc>
          <w:tcPr>
            <w:tcW w:type="dxa" w:w="2160"/>
          </w:tcPr>
          <w:p>
            <w:r/>
            <w:r>
              <w:rPr>
                <w:rFonts w:ascii="Arial" w:hAnsi="Arial"/>
                <w:sz w:val="20"/>
              </w:rPr>
              <w:t>Specialties</w:t>
            </w:r>
          </w:p>
        </w:tc>
        <w:tc>
          <w:tcPr>
            <w:tcW w:type="dxa" w:w="7200"/>
          </w:tcPr>
          <w:p>
            <w:r/>
            <w:r>
              <w:rPr>
                <w:rFonts w:ascii="Arial" w:hAnsi="Arial"/>
                <w:sz w:val="20"/>
              </w:rPr>
              <w:t>Chef, pastry chef, sommelier, bartender/mixologist, food photographer, restaurant owner, food writer, forager, butcher</w:t>
            </w:r>
          </w:p>
        </w:tc>
      </w:tr>
      <w:tr>
        <w:tc>
          <w:tcPr>
            <w:tcW w:type="dxa" w:w="2160"/>
          </w:tcPr>
          <w:p>
            <w:r/>
            <w:r>
              <w:rPr>
                <w:rFonts w:ascii="Arial" w:hAnsi="Arial"/>
                <w:sz w:val="20"/>
              </w:rPr>
              <w:t>Cross-specialty affinity</w:t>
            </w:r>
          </w:p>
        </w:tc>
        <w:tc>
          <w:tcPr>
            <w:tcW w:type="dxa" w:w="7200"/>
          </w:tcPr>
          <w:p>
            <w:r/>
            <w:r>
              <w:rPr>
                <w:rFonts w:ascii="Arial" w:hAnsi="Arial"/>
                <w:sz w:val="20"/>
              </w:rPr>
              <w:t>Chefs + sommeliers, bartenders + food photographers, restaurant owners + food writers</w:t>
            </w:r>
          </w:p>
        </w:tc>
      </w:tr>
      <w:tr>
        <w:tc>
          <w:tcPr>
            <w:tcW w:type="dxa" w:w="2160"/>
          </w:tcPr>
          <w:p>
            <w:r/>
            <w:r>
              <w:rPr>
                <w:rFonts w:ascii="Arial" w:hAnsi="Arial"/>
                <w:sz w:val="20"/>
              </w:rPr>
              <w:t>Sponsor types</w:t>
            </w:r>
          </w:p>
        </w:tc>
        <w:tc>
          <w:tcPr>
            <w:tcW w:type="dxa" w:w="7200"/>
          </w:tcPr>
          <w:p>
            <w:r/>
            <w:r>
              <w:rPr>
                <w:rFonts w:ascii="Arial" w:hAnsi="Arial"/>
                <w:sz w:val="20"/>
              </w:rPr>
              <w:t>Kitchen equipment brands, specialty food distributors, wine/spirits brands, restaurant supply companies, culinary schools</w:t>
            </w:r>
          </w:p>
        </w:tc>
      </w:tr>
      <w:tr>
        <w:tc>
          <w:tcPr>
            <w:tcW w:type="dxa" w:w="2160"/>
          </w:tcPr>
          <w:p>
            <w:r/>
            <w:r>
              <w:rPr>
                <w:rFonts w:ascii="Arial" w:hAnsi="Arial"/>
                <w:sz w:val="20"/>
              </w:rPr>
              <w:t>Why it fits</w:t>
            </w:r>
          </w:p>
        </w:tc>
        <w:tc>
          <w:tcPr>
            <w:tcW w:type="dxa" w:w="7200"/>
          </w:tcPr>
          <w:p>
            <w:r/>
            <w:r>
              <w:rPr>
                <w:rFonts w:ascii="Arial" w:hAnsi="Arial"/>
                <w:sz w:val="20"/>
              </w:rPr>
              <w:t>Restaurant/culinary professionals network intensively at events. "Industry night" is already a concept in hospitality. Strong specialty taxonomy. Sponsors (knife brands, equipment companies) have clear demographic targets.</w:t>
            </w:r>
          </w:p>
        </w:tc>
      </w:tr>
      <w:tr>
        <w:tc>
          <w:tcPr>
            <w:tcW w:type="dxa" w:w="2160"/>
          </w:tcPr>
          <w:p>
            <w:r/>
            <w:r>
              <w:rPr>
                <w:rFonts w:ascii="Arial" w:hAnsi="Arial"/>
                <w:sz w:val="20"/>
              </w:rPr>
              <w:t>Market size</w:t>
            </w:r>
          </w:p>
        </w:tc>
        <w:tc>
          <w:tcPr>
            <w:tcW w:type="dxa" w:w="7200"/>
          </w:tcPr>
          <w:p>
            <w:r/>
            <w:r>
              <w:rPr>
                <w:rFonts w:ascii="Arial" w:hAnsi="Arial"/>
                <w:sz w:val="20"/>
              </w:rPr>
              <w:t>Over 1 million restaurant/bar establishments in the US. The culinary event circuit is large and growing.</w:t>
            </w:r>
          </w:p>
        </w:tc>
      </w:tr>
      <w:tr>
        <w:tc>
          <w:tcPr>
            <w:tcW w:type="dxa" w:w="2160"/>
          </w:tcPr>
          <w:p>
            <w:r/>
            <w:r>
              <w:rPr>
                <w:rFonts w:ascii="Arial" w:hAnsi="Arial"/>
                <w:sz w:val="20"/>
              </w:rPr>
              <w:t>Monetization</w:t>
            </w:r>
          </w:p>
        </w:tc>
        <w:tc>
          <w:tcPr>
            <w:tcW w:type="dxa" w:w="7200"/>
          </w:tcPr>
          <w:p>
            <w:r/>
            <w:r>
              <w:rPr>
                <w:rFonts w:ascii="Arial" w:hAnsi="Arial"/>
                <w:sz w:val="20"/>
              </w:rPr>
              <w:t>Premium equipment and ingredient sponsors pay well for targeted access to culinary professionals.</w:t>
            </w:r>
          </w:p>
        </w:tc>
      </w:tr>
    </w:tbl>
    <w:p/>
    <w:p>
      <w:pPr>
        <w:spacing w:after="80" w:before="0"/>
      </w:pPr>
      <w:r>
        <w:rPr>
          <w:b/>
          <w:sz w:val="24"/>
        </w:rPr>
        <w:t>C. Fitness &amp; Wellness Professionals</w:t>
      </w:r>
    </w:p>
    <w:tbl>
      <w:tblPr>
        <w:tblStyle w:val="LightGrid-Accent1"/>
        <w:tblW w:type="auto" w:w="0"/>
        <w:jc w:val="left"/>
        <w:tblLook w:firstColumn="1" w:firstRow="1" w:lastColumn="0" w:lastRow="0" w:noHBand="0" w:noVBand="1" w:val="04A0"/>
      </w:tblPr>
      <w:tblGrid>
        <w:gridCol w:w="4680"/>
        <w:gridCol w:w="4680"/>
      </w:tblGrid>
      <w:tr>
        <w:tc>
          <w:tcPr>
            <w:tcW w:type="dxa" w:w="2160"/>
          </w:tcPr>
          <w:p>
            <w:r/>
            <w:r>
              <w:rPr>
                <w:rFonts w:ascii="Arial" w:hAnsi="Arial"/>
                <w:b/>
                <w:sz w:val="20"/>
              </w:rPr>
              <w:t>Dimension</w:t>
            </w:r>
          </w:p>
        </w:tc>
        <w:tc>
          <w:tcPr>
            <w:tcW w:type="dxa" w:w="7200"/>
          </w:tcPr>
          <w:p>
            <w:r/>
            <w:r>
              <w:rPr>
                <w:rFonts w:ascii="Arial" w:hAnsi="Arial"/>
                <w:b/>
                <w:sz w:val="20"/>
              </w:rPr>
              <w:t>Details</w:t>
            </w:r>
          </w:p>
        </w:tc>
      </w:tr>
      <w:tr>
        <w:tc>
          <w:tcPr>
            <w:tcW w:type="dxa" w:w="2160"/>
          </w:tcPr>
          <w:p>
            <w:r/>
            <w:r>
              <w:rPr>
                <w:rFonts w:ascii="Arial" w:hAnsi="Arial"/>
                <w:sz w:val="20"/>
              </w:rPr>
              <w:t>Events</w:t>
            </w:r>
          </w:p>
        </w:tc>
        <w:tc>
          <w:tcPr>
            <w:tcW w:type="dxa" w:w="7200"/>
          </w:tcPr>
          <w:p>
            <w:r/>
            <w:r>
              <w:rPr>
                <w:rFonts w:ascii="Arial" w:hAnsi="Arial"/>
                <w:sz w:val="20"/>
              </w:rPr>
              <w:t>Fitness expos, yoga retreats, wellness summits, trainer certifications, CrossFit competitions, group fitness meetups</w:t>
            </w:r>
          </w:p>
        </w:tc>
      </w:tr>
      <w:tr>
        <w:tc>
          <w:tcPr>
            <w:tcW w:type="dxa" w:w="2160"/>
          </w:tcPr>
          <w:p>
            <w:r/>
            <w:r>
              <w:rPr>
                <w:rFonts w:ascii="Arial" w:hAnsi="Arial"/>
                <w:sz w:val="20"/>
              </w:rPr>
              <w:t>Specialties</w:t>
            </w:r>
          </w:p>
        </w:tc>
        <w:tc>
          <w:tcPr>
            <w:tcW w:type="dxa" w:w="7200"/>
          </w:tcPr>
          <w:p>
            <w:r/>
            <w:r>
              <w:rPr>
                <w:rFonts w:ascii="Arial" w:hAnsi="Arial"/>
                <w:sz w:val="20"/>
              </w:rPr>
              <w:t>Personal trainer, yoga instructor, nutritionist, physical therapist, group fitness instructor, sports massage therapist, wellness coach</w:t>
            </w:r>
          </w:p>
        </w:tc>
      </w:tr>
      <w:tr>
        <w:tc>
          <w:tcPr>
            <w:tcW w:type="dxa" w:w="2160"/>
          </w:tcPr>
          <w:p>
            <w:r/>
            <w:r>
              <w:rPr>
                <w:rFonts w:ascii="Arial" w:hAnsi="Arial"/>
                <w:sz w:val="20"/>
              </w:rPr>
              <w:t>Cross-specialty affinity</w:t>
            </w:r>
          </w:p>
        </w:tc>
        <w:tc>
          <w:tcPr>
            <w:tcW w:type="dxa" w:w="7200"/>
          </w:tcPr>
          <w:p>
            <w:r/>
            <w:r>
              <w:rPr>
                <w:rFonts w:ascii="Arial" w:hAnsi="Arial"/>
                <w:sz w:val="20"/>
              </w:rPr>
              <w:t>Trainers + nutritionists, yoga instructors + physical therapists, coaches + sports massage therapists</w:t>
            </w:r>
          </w:p>
        </w:tc>
      </w:tr>
      <w:tr>
        <w:tc>
          <w:tcPr>
            <w:tcW w:type="dxa" w:w="2160"/>
          </w:tcPr>
          <w:p>
            <w:r/>
            <w:r>
              <w:rPr>
                <w:rFonts w:ascii="Arial" w:hAnsi="Arial"/>
                <w:sz w:val="20"/>
              </w:rPr>
              <w:t>Sponsor types</w:t>
            </w:r>
          </w:p>
        </w:tc>
        <w:tc>
          <w:tcPr>
            <w:tcW w:type="dxa" w:w="7200"/>
          </w:tcPr>
          <w:p>
            <w:r/>
            <w:r>
              <w:rPr>
                <w:rFonts w:ascii="Arial" w:hAnsi="Arial"/>
                <w:sz w:val="20"/>
              </w:rPr>
              <w:t>Supplement brands, athleisure companies, fitness equipment manufacturers, wellness app companies, gym franchises</w:t>
            </w:r>
          </w:p>
        </w:tc>
      </w:tr>
      <w:tr>
        <w:tc>
          <w:tcPr>
            <w:tcW w:type="dxa" w:w="2160"/>
          </w:tcPr>
          <w:p>
            <w:r/>
            <w:r>
              <w:rPr>
                <w:rFonts w:ascii="Arial" w:hAnsi="Arial"/>
                <w:sz w:val="20"/>
              </w:rPr>
              <w:t>Why it fits</w:t>
            </w:r>
          </w:p>
        </w:tc>
        <w:tc>
          <w:tcPr>
            <w:tcW w:type="dxa" w:w="7200"/>
          </w:tcPr>
          <w:p>
            <w:r/>
            <w:r>
              <w:rPr>
                <w:rFonts w:ascii="Arial" w:hAnsi="Arial"/>
                <w:sz w:val="20"/>
              </w:rPr>
              <w:t>Fitness professionals attend events regularly. Cross-specialty referrals are common and valuable. Supplement/equipment brands are desperate for verified professional endorsement channels.</w:t>
            </w:r>
          </w:p>
        </w:tc>
      </w:tr>
      <w:tr>
        <w:tc>
          <w:tcPr>
            <w:tcW w:type="dxa" w:w="2160"/>
          </w:tcPr>
          <w:p>
            <w:r/>
            <w:r>
              <w:rPr>
                <w:rFonts w:ascii="Arial" w:hAnsi="Arial"/>
                <w:sz w:val="20"/>
              </w:rPr>
              <w:t>Market size</w:t>
            </w:r>
          </w:p>
        </w:tc>
        <w:tc>
          <w:tcPr>
            <w:tcW w:type="dxa" w:w="7200"/>
          </w:tcPr>
          <w:p>
            <w:r/>
            <w:r>
              <w:rPr>
                <w:rFonts w:ascii="Arial" w:hAnsi="Arial"/>
                <w:sz w:val="20"/>
              </w:rPr>
              <w:t>The US fitness industry employs over 350,000 personal trainers. Wellness events are a growing market.</w:t>
            </w:r>
          </w:p>
        </w:tc>
      </w:tr>
      <w:tr>
        <w:tc>
          <w:tcPr>
            <w:tcW w:type="dxa" w:w="2160"/>
          </w:tcPr>
          <w:p>
            <w:r/>
            <w:r>
              <w:rPr>
                <w:rFonts w:ascii="Arial" w:hAnsi="Arial"/>
                <w:sz w:val="20"/>
              </w:rPr>
              <w:t>Monetization</w:t>
            </w:r>
          </w:p>
        </w:tc>
        <w:tc>
          <w:tcPr>
            <w:tcW w:type="dxa" w:w="7200"/>
          </w:tcPr>
          <w:p>
            <w:r/>
            <w:r>
              <w:rPr>
                <w:rFonts w:ascii="Arial" w:hAnsi="Arial"/>
                <w:sz w:val="20"/>
              </w:rPr>
              <w:t>Supplement and equipment brands spend heavily on influencer marketing; verified professional endorsement data commands premium pricing.</w:t>
            </w:r>
          </w:p>
        </w:tc>
      </w:tr>
    </w:tbl>
    <w:p/>
    <w:p>
      <w:pPr>
        <w:pStyle w:val="Heading2"/>
      </w:pPr>
      <w:r>
        <w:t>3.3 Medium-Affinity Verticals</w:t>
      </w:r>
    </w:p>
    <w:tbl>
      <w:tblPr>
        <w:tblStyle w:val="LightGrid-Accent1"/>
        <w:tblW w:type="auto" w:w="0"/>
        <w:jc w:val="left"/>
        <w:tblLook w:firstColumn="1" w:firstRow="1" w:lastColumn="0" w:lastRow="0" w:noHBand="0" w:noVBand="1" w:val="04A0"/>
      </w:tblPr>
      <w:tblGrid>
        <w:gridCol w:w="1872"/>
        <w:gridCol w:w="1872"/>
        <w:gridCol w:w="1872"/>
        <w:gridCol w:w="1872"/>
        <w:gridCol w:w="1872"/>
      </w:tblGrid>
      <w:tr>
        <w:tc>
          <w:tcPr>
            <w:tcW w:type="dxa" w:w="1440"/>
          </w:tcPr>
          <w:p>
            <w:r/>
            <w:r>
              <w:rPr>
                <w:rFonts w:ascii="Arial" w:hAnsi="Arial"/>
                <w:b/>
                <w:sz w:val="20"/>
              </w:rPr>
              <w:t>Vertical</w:t>
            </w:r>
          </w:p>
        </w:tc>
        <w:tc>
          <w:tcPr>
            <w:tcW w:type="dxa" w:w="1872"/>
          </w:tcPr>
          <w:p>
            <w:r/>
            <w:r>
              <w:rPr>
                <w:rFonts w:ascii="Arial" w:hAnsi="Arial"/>
                <w:b/>
                <w:sz w:val="20"/>
              </w:rPr>
              <w:t>Events</w:t>
            </w:r>
          </w:p>
        </w:tc>
        <w:tc>
          <w:tcPr>
            <w:tcW w:type="dxa" w:w="1872"/>
          </w:tcPr>
          <w:p>
            <w:r/>
            <w:r>
              <w:rPr>
                <w:rFonts w:ascii="Arial" w:hAnsi="Arial"/>
                <w:b/>
                <w:sz w:val="20"/>
              </w:rPr>
              <w:t>Specialties</w:t>
            </w:r>
          </w:p>
        </w:tc>
        <w:tc>
          <w:tcPr>
            <w:tcW w:type="dxa" w:w="1872"/>
          </w:tcPr>
          <w:p>
            <w:r/>
            <w:r>
              <w:rPr>
                <w:rFonts w:ascii="Arial" w:hAnsi="Arial"/>
                <w:b/>
                <w:sz w:val="20"/>
              </w:rPr>
              <w:t>Sponsors</w:t>
            </w:r>
          </w:p>
        </w:tc>
        <w:tc>
          <w:tcPr>
            <w:tcW w:type="dxa" w:w="2304"/>
          </w:tcPr>
          <w:p>
            <w:r/>
            <w:r>
              <w:rPr>
                <w:rFonts w:ascii="Arial" w:hAnsi="Arial"/>
                <w:b/>
                <w:sz w:val="20"/>
              </w:rPr>
              <w:t>Fit Assessment</w:t>
            </w:r>
          </w:p>
        </w:tc>
      </w:tr>
      <w:tr>
        <w:tc>
          <w:tcPr>
            <w:tcW w:type="dxa" w:w="1440"/>
          </w:tcPr>
          <w:p>
            <w:r/>
            <w:r>
              <w:rPr>
                <w:rFonts w:ascii="Arial" w:hAnsi="Arial"/>
                <w:sz w:val="20"/>
              </w:rPr>
              <w:t>Real Estate</w:t>
            </w:r>
          </w:p>
        </w:tc>
        <w:tc>
          <w:tcPr>
            <w:tcW w:type="dxa" w:w="1872"/>
          </w:tcPr>
          <w:p>
            <w:r/>
            <w:r>
              <w:rPr>
                <w:rFonts w:ascii="Arial" w:hAnsi="Arial"/>
                <w:sz w:val="20"/>
              </w:rPr>
              <w:t>Open houses, investor meetups, broker networking events, RE conferences</w:t>
            </w:r>
          </w:p>
        </w:tc>
        <w:tc>
          <w:tcPr>
            <w:tcW w:type="dxa" w:w="1872"/>
          </w:tcPr>
          <w:p>
            <w:r/>
            <w:r>
              <w:rPr>
                <w:rFonts w:ascii="Arial" w:hAnsi="Arial"/>
                <w:sz w:val="20"/>
              </w:rPr>
              <w:t>Agent, broker, mortgage lender, appraiser, inspector, investor, property manager</w:t>
            </w:r>
          </w:p>
        </w:tc>
        <w:tc>
          <w:tcPr>
            <w:tcW w:type="dxa" w:w="1872"/>
          </w:tcPr>
          <w:p>
            <w:r/>
            <w:r>
              <w:rPr>
                <w:rFonts w:ascii="Arial" w:hAnsi="Arial"/>
                <w:sz w:val="20"/>
              </w:rPr>
              <w:t>Mortgage lenders, title companies, inspection services, CRM platforms</w:t>
            </w:r>
          </w:p>
        </w:tc>
        <w:tc>
          <w:tcPr>
            <w:tcW w:type="dxa" w:w="2304"/>
          </w:tcPr>
          <w:p>
            <w:r/>
            <w:r>
              <w:rPr>
                <w:rFonts w:ascii="Arial" w:hAnsi="Arial"/>
                <w:sz w:val="20"/>
              </w:rPr>
              <w:t>GOOD. Strong event culture, clear specialties, sponsor ecosystem. Risk: already served by ActiveRain, agent-specific CRMs.</w:t>
            </w:r>
          </w:p>
        </w:tc>
      </w:tr>
      <w:tr>
        <w:tc>
          <w:tcPr>
            <w:tcW w:type="dxa" w:w="1440"/>
          </w:tcPr>
          <w:p>
            <w:r/>
            <w:r>
              <w:rPr>
                <w:rFonts w:ascii="Arial" w:hAnsi="Arial"/>
                <w:sz w:val="20"/>
              </w:rPr>
              <w:t>Tech Startups</w:t>
            </w:r>
          </w:p>
        </w:tc>
        <w:tc>
          <w:tcPr>
            <w:tcW w:type="dxa" w:w="1872"/>
          </w:tcPr>
          <w:p>
            <w:r/>
            <w:r>
              <w:rPr>
                <w:rFonts w:ascii="Arial" w:hAnsi="Arial"/>
                <w:sz w:val="20"/>
              </w:rPr>
              <w:t>Demo days, hackathons, meetups, startup pitch nights, accelerator events</w:t>
            </w:r>
          </w:p>
        </w:tc>
        <w:tc>
          <w:tcPr>
            <w:tcW w:type="dxa" w:w="1872"/>
          </w:tcPr>
          <w:p>
            <w:r/>
            <w:r>
              <w:rPr>
                <w:rFonts w:ascii="Arial" w:hAnsi="Arial"/>
                <w:sz w:val="20"/>
              </w:rPr>
              <w:t>Developer, designer, product manager, founder, VC, marketer, data scientist</w:t>
            </w:r>
          </w:p>
        </w:tc>
        <w:tc>
          <w:tcPr>
            <w:tcW w:type="dxa" w:w="1872"/>
          </w:tcPr>
          <w:p>
            <w:r/>
            <w:r>
              <w:rPr>
                <w:rFonts w:ascii="Arial" w:hAnsi="Arial"/>
                <w:sz w:val="20"/>
              </w:rPr>
              <w:t>Dev tools, cloud platforms, co-working spaces, accelerators</w:t>
            </w:r>
          </w:p>
        </w:tc>
        <w:tc>
          <w:tcPr>
            <w:tcW w:type="dxa" w:w="2304"/>
          </w:tcPr>
          <w:p>
            <w:r/>
            <w:r>
              <w:rPr>
                <w:rFonts w:ascii="Arial" w:hAnsi="Arial"/>
                <w:sz w:val="20"/>
              </w:rPr>
              <w:t>MODERATE. Rich event ecosystem. But LinkedIn + Twitter/X already serve this space. Differentiation: event-verified "I met this founder at Demo Day."</w:t>
            </w:r>
          </w:p>
        </w:tc>
      </w:tr>
      <w:tr>
        <w:tc>
          <w:tcPr>
            <w:tcW w:type="dxa" w:w="1440"/>
          </w:tcPr>
          <w:p>
            <w:r/>
            <w:r>
              <w:rPr>
                <w:rFonts w:ascii="Arial" w:hAnsi="Arial"/>
                <w:sz w:val="20"/>
              </w:rPr>
              <w:t>Craft Beverage (Beer/Wine/Spirits)</w:t>
            </w:r>
          </w:p>
        </w:tc>
        <w:tc>
          <w:tcPr>
            <w:tcW w:type="dxa" w:w="1872"/>
          </w:tcPr>
          <w:p>
            <w:r/>
            <w:r>
              <w:rPr>
                <w:rFonts w:ascii="Arial" w:hAnsi="Arial"/>
                <w:sz w:val="20"/>
              </w:rPr>
              <w:t>Taproom openings, beer festivals, homebrew clubs, spirits tastings, industry trade shows</w:t>
            </w:r>
          </w:p>
        </w:tc>
        <w:tc>
          <w:tcPr>
            <w:tcW w:type="dxa" w:w="1872"/>
          </w:tcPr>
          <w:p>
            <w:r/>
            <w:r>
              <w:rPr>
                <w:rFonts w:ascii="Arial" w:hAnsi="Arial"/>
                <w:sz w:val="20"/>
              </w:rPr>
              <w:t>Brewer, distiller, vintner, sales rep, taproom manager, beer judge, hops farmer</w:t>
            </w:r>
          </w:p>
        </w:tc>
        <w:tc>
          <w:tcPr>
            <w:tcW w:type="dxa" w:w="1872"/>
          </w:tcPr>
          <w:p>
            <w:r/>
            <w:r>
              <w:rPr>
                <w:rFonts w:ascii="Arial" w:hAnsi="Arial"/>
                <w:sz w:val="20"/>
              </w:rPr>
              <w:t>Ingredient suppliers, equipment manufacturers, distribution companies</w:t>
            </w:r>
          </w:p>
        </w:tc>
        <w:tc>
          <w:tcPr>
            <w:tcW w:type="dxa" w:w="2304"/>
          </w:tcPr>
          <w:p>
            <w:r/>
            <w:r>
              <w:rPr>
                <w:rFonts w:ascii="Arial" w:hAnsi="Arial"/>
                <w:sz w:val="20"/>
              </w:rPr>
              <w:t>GOOD. Strong event culture (Untappd covers ratings but not professional networking). Clear B2B sponsor opportunity.</w:t>
            </w:r>
          </w:p>
        </w:tc>
      </w:tr>
      <w:tr>
        <w:tc>
          <w:tcPr>
            <w:tcW w:type="dxa" w:w="1440"/>
          </w:tcPr>
          <w:p>
            <w:r/>
            <w:r>
              <w:rPr>
                <w:rFonts w:ascii="Arial" w:hAnsi="Arial"/>
                <w:sz w:val="20"/>
              </w:rPr>
              <w:t>Wedding / Events Industry</w:t>
            </w:r>
          </w:p>
        </w:tc>
        <w:tc>
          <w:tcPr>
            <w:tcW w:type="dxa" w:w="1872"/>
          </w:tcPr>
          <w:p>
            <w:r/>
            <w:r>
              <w:rPr>
                <w:rFonts w:ascii="Arial" w:hAnsi="Arial"/>
                <w:sz w:val="20"/>
              </w:rPr>
              <w:t>Bridal expos, venue showcases, wedding industry mixers, styled shoot gatherings</w:t>
            </w:r>
          </w:p>
        </w:tc>
        <w:tc>
          <w:tcPr>
            <w:tcW w:type="dxa" w:w="1872"/>
          </w:tcPr>
          <w:p>
            <w:r/>
            <w:r>
              <w:rPr>
                <w:rFonts w:ascii="Arial" w:hAnsi="Arial"/>
                <w:sz w:val="20"/>
              </w:rPr>
              <w:t>Wedding planner, florist, photographer, caterer, DJ, officiant, venue coordinator</w:t>
            </w:r>
          </w:p>
        </w:tc>
        <w:tc>
          <w:tcPr>
            <w:tcW w:type="dxa" w:w="1872"/>
          </w:tcPr>
          <w:p>
            <w:r/>
            <w:r>
              <w:rPr>
                <w:rFonts w:ascii="Arial" w:hAnsi="Arial"/>
                <w:sz w:val="20"/>
              </w:rPr>
              <w:t>Bridal magazines, venue chains, rental companies, floral wholesalers</w:t>
            </w:r>
          </w:p>
        </w:tc>
        <w:tc>
          <w:tcPr>
            <w:tcW w:type="dxa" w:w="2304"/>
          </w:tcPr>
          <w:p>
            <w:r/>
            <w:r>
              <w:rPr>
                <w:rFonts w:ascii="Arial" w:hAnsi="Arial"/>
                <w:sz w:val="20"/>
              </w:rPr>
              <w:t>VERY GOOD. Heavy reliance on referral networks among vendors. "I met this florist at a styled shoot" is exactly the IN model.</w:t>
            </w:r>
          </w:p>
        </w:tc>
      </w:tr>
      <w:tr>
        <w:tc>
          <w:tcPr>
            <w:tcW w:type="dxa" w:w="1440"/>
          </w:tcPr>
          <w:p>
            <w:r/>
            <w:r>
              <w:rPr>
                <w:rFonts w:ascii="Arial" w:hAnsi="Arial"/>
                <w:sz w:val="20"/>
              </w:rPr>
              <w:t>Fashion / Apparel</w:t>
            </w:r>
          </w:p>
        </w:tc>
        <w:tc>
          <w:tcPr>
            <w:tcW w:type="dxa" w:w="1872"/>
          </w:tcPr>
          <w:p>
            <w:r/>
            <w:r>
              <w:rPr>
                <w:rFonts w:ascii="Arial" w:hAnsi="Arial"/>
                <w:sz w:val="20"/>
              </w:rPr>
              <w:t>Fashion weeks, trade shows, showroom events, sample sales, designer pop-ups</w:t>
            </w:r>
          </w:p>
        </w:tc>
        <w:tc>
          <w:tcPr>
            <w:tcW w:type="dxa" w:w="1872"/>
          </w:tcPr>
          <w:p>
            <w:r/>
            <w:r>
              <w:rPr>
                <w:rFonts w:ascii="Arial" w:hAnsi="Arial"/>
                <w:sz w:val="20"/>
              </w:rPr>
              <w:t>Designer, pattern maker, buyer, stylist, model, PR agent, textile supplier</w:t>
            </w:r>
          </w:p>
        </w:tc>
        <w:tc>
          <w:tcPr>
            <w:tcW w:type="dxa" w:w="1872"/>
          </w:tcPr>
          <w:p>
            <w:r/>
            <w:r>
              <w:rPr>
                <w:rFonts w:ascii="Arial" w:hAnsi="Arial"/>
                <w:sz w:val="20"/>
              </w:rPr>
              <w:t>Fabric suppliers, fashion tech, e-commerce platforms, fashion media</w:t>
            </w:r>
          </w:p>
        </w:tc>
        <w:tc>
          <w:tcPr>
            <w:tcW w:type="dxa" w:w="2304"/>
          </w:tcPr>
          <w:p>
            <w:r/>
            <w:r>
              <w:rPr>
                <w:rFonts w:ascii="Arial" w:hAnsi="Arial"/>
                <w:sz w:val="20"/>
              </w:rPr>
              <w:t>GOOD. Strong event circuit. However, fashion networking often happens through agencies and existing gatekeepers.</w:t>
            </w:r>
          </w:p>
        </w:tc>
      </w:tr>
    </w:tbl>
    <w:p/>
    <w:p>
      <w:pPr>
        <w:pStyle w:val="Heading2"/>
      </w:pPr>
      <w:r>
        <w:t>3.4 Emerging / Speculative Verticals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1728"/>
          </w:tcPr>
          <w:p>
            <w:r/>
            <w:r>
              <w:rPr>
                <w:rFonts w:ascii="Arial" w:hAnsi="Arial"/>
                <w:b/>
                <w:sz w:val="20"/>
              </w:rPr>
              <w:t>Vertical</w:t>
            </w:r>
          </w:p>
        </w:tc>
        <w:tc>
          <w:tcPr>
            <w:tcW w:type="dxa" w:w="2880"/>
          </w:tcPr>
          <w:p>
            <w:r/>
            <w:r>
              <w:rPr>
                <w:rFonts w:ascii="Arial" w:hAnsi="Arial"/>
                <w:b/>
                <w:sz w:val="20"/>
              </w:rPr>
              <w:t>Why It Could Work</w:t>
            </w:r>
          </w:p>
        </w:tc>
        <w:tc>
          <w:tcPr>
            <w:tcW w:type="dxa" w:w="2592"/>
          </w:tcPr>
          <w:p>
            <w:r/>
            <w:r>
              <w:rPr>
                <w:rFonts w:ascii="Arial" w:hAnsi="Arial"/>
                <w:b/>
                <w:sz w:val="20"/>
              </w:rPr>
              <w:t>Challenges</w:t>
            </w:r>
          </w:p>
        </w:tc>
        <w:tc>
          <w:tcPr>
            <w:tcW w:type="dxa" w:w="2160"/>
          </w:tcPr>
          <w:p>
            <w:r/>
            <w:r>
              <w:rPr>
                <w:rFonts w:ascii="Arial" w:hAnsi="Arial"/>
                <w:b/>
                <w:sz w:val="20"/>
              </w:rPr>
              <w:t>Sponsor Opportunity</w:t>
            </w:r>
          </w:p>
        </w:tc>
      </w:tr>
      <w:tr>
        <w:tc>
          <w:tcPr>
            <w:tcW w:type="dxa" w:w="1728"/>
          </w:tcPr>
          <w:p>
            <w:r/>
            <w:r>
              <w:rPr>
                <w:rFonts w:ascii="Arial" w:hAnsi="Arial"/>
                <w:sz w:val="20"/>
              </w:rPr>
              <w:t>Cannabis Industry</w:t>
            </w:r>
          </w:p>
        </w:tc>
        <w:tc>
          <w:tcPr>
            <w:tcW w:type="dxa" w:w="2880"/>
          </w:tcPr>
          <w:p>
            <w:r/>
            <w:r>
              <w:rPr>
                <w:rFonts w:ascii="Arial" w:hAnsi="Arial"/>
                <w:sz w:val="20"/>
              </w:rPr>
              <w:t>Rapidly growing, highly fragmented, strong event culture (trade shows, dispensary openings), stigma makes LinkedIn less useful</w:t>
            </w:r>
          </w:p>
        </w:tc>
        <w:tc>
          <w:tcPr>
            <w:tcW w:type="dxa" w:w="2592"/>
          </w:tcPr>
          <w:p>
            <w:r/>
            <w:r>
              <w:rPr>
                <w:rFonts w:ascii="Arial" w:hAnsi="Arial"/>
                <w:sz w:val="20"/>
              </w:rPr>
              <w:t>Regulatory complexity across states, advertising restrictions</w:t>
            </w:r>
          </w:p>
        </w:tc>
        <w:tc>
          <w:tcPr>
            <w:tcW w:type="dxa" w:w="2160"/>
          </w:tcPr>
          <w:p>
            <w:r/>
            <w:r>
              <w:rPr>
                <w:rFonts w:ascii="Arial" w:hAnsi="Arial"/>
                <w:sz w:val="20"/>
              </w:rPr>
              <w:t>Equipment manufacturers, compliance software, testing labs</w:t>
            </w:r>
          </w:p>
        </w:tc>
      </w:tr>
      <w:tr>
        <w:tc>
          <w:tcPr>
            <w:tcW w:type="dxa" w:w="1728"/>
          </w:tcPr>
          <w:p>
            <w:r/>
            <w:r>
              <w:rPr>
                <w:rFonts w:ascii="Arial" w:hAnsi="Arial"/>
                <w:sz w:val="20"/>
              </w:rPr>
              <w:t>Skilled Trades</w:t>
            </w:r>
          </w:p>
        </w:tc>
        <w:tc>
          <w:tcPr>
            <w:tcW w:type="dxa" w:w="2880"/>
          </w:tcPr>
          <w:p>
            <w:r/>
            <w:r>
              <w:rPr>
                <w:rFonts w:ascii="Arial" w:hAnsi="Arial"/>
                <w:sz w:val="20"/>
              </w:rPr>
              <w:t>Plumbers, electricians, carpenters at trade shows and union events. "I met this electrician at the IBEW expo" carries trust.</w:t>
            </w:r>
          </w:p>
        </w:tc>
        <w:tc>
          <w:tcPr>
            <w:tcW w:type="dxa" w:w="2592"/>
          </w:tcPr>
          <w:p>
            <w:r/>
            <w:r>
              <w:rPr>
                <w:rFonts w:ascii="Arial" w:hAnsi="Arial"/>
                <w:sz w:val="20"/>
              </w:rPr>
              <w:t>Lower digital adoption in some segments, less event frequency</w:t>
            </w:r>
          </w:p>
        </w:tc>
        <w:tc>
          <w:tcPr>
            <w:tcW w:type="dxa" w:w="2160"/>
          </w:tcPr>
          <w:p>
            <w:r/>
            <w:r>
              <w:rPr>
                <w:rFonts w:ascii="Arial" w:hAnsi="Arial"/>
                <w:sz w:val="20"/>
              </w:rPr>
              <w:t>Tool manufacturers (DeWalt, Milwaukee), supply houses, trade schools</w:t>
            </w:r>
          </w:p>
        </w:tc>
      </w:tr>
      <w:tr>
        <w:tc>
          <w:tcPr>
            <w:tcW w:type="dxa" w:w="1728"/>
          </w:tcPr>
          <w:p>
            <w:r/>
            <w:r>
              <w:rPr>
                <w:rFonts w:ascii="Arial" w:hAnsi="Arial"/>
                <w:sz w:val="20"/>
              </w:rPr>
              <w:t>Independent Film</w:t>
            </w:r>
          </w:p>
        </w:tc>
        <w:tc>
          <w:tcPr>
            <w:tcW w:type="dxa" w:w="2880"/>
          </w:tcPr>
          <w:p>
            <w:r/>
            <w:r>
              <w:rPr>
                <w:rFonts w:ascii="Arial" w:hAnsi="Arial"/>
                <w:sz w:val="20"/>
              </w:rPr>
              <w:t>Film festivals, screening events, production meetups. Specialties: director, cinematographer, editor, gaffer, sound designer.</w:t>
            </w:r>
          </w:p>
        </w:tc>
        <w:tc>
          <w:tcPr>
            <w:tcW w:type="dxa" w:w="2592"/>
          </w:tcPr>
          <w:p>
            <w:r/>
            <w:r>
              <w:rPr>
                <w:rFonts w:ascii="Arial" w:hAnsi="Arial"/>
                <w:sz w:val="20"/>
              </w:rPr>
              <w:t>Already partially served by Backstage/Stage32. Seasonal event cycle.</w:t>
            </w:r>
          </w:p>
        </w:tc>
        <w:tc>
          <w:tcPr>
            <w:tcW w:type="dxa" w:w="2160"/>
          </w:tcPr>
          <w:p>
            <w:r/>
            <w:r>
              <w:rPr>
                <w:rFonts w:ascii="Arial" w:hAnsi="Arial"/>
                <w:sz w:val="20"/>
              </w:rPr>
              <w:t>Camera/equipment rental, post-production software, distribution platforms</w:t>
            </w:r>
          </w:p>
        </w:tc>
      </w:tr>
      <w:tr>
        <w:tc>
          <w:tcPr>
            <w:tcW w:type="dxa" w:w="1728"/>
          </w:tcPr>
          <w:p>
            <w:r/>
            <w:r>
              <w:rPr>
                <w:rFonts w:ascii="Arial" w:hAnsi="Arial"/>
                <w:sz w:val="20"/>
              </w:rPr>
              <w:t>Podcast / Creator Economy</w:t>
            </w:r>
          </w:p>
        </w:tc>
        <w:tc>
          <w:tcPr>
            <w:tcW w:type="dxa" w:w="2880"/>
          </w:tcPr>
          <w:p>
            <w:r/>
            <w:r>
              <w:rPr>
                <w:rFonts w:ascii="Arial" w:hAnsi="Arial"/>
                <w:sz w:val="20"/>
              </w:rPr>
              <w:t>Podcast conferences (Podcast Movement), creator meetups, content summits. Specialties: host, editor, producer, sponsor rep.</w:t>
            </w:r>
          </w:p>
        </w:tc>
        <w:tc>
          <w:tcPr>
            <w:tcW w:type="dxa" w:w="2592"/>
          </w:tcPr>
          <w:p>
            <w:r/>
            <w:r>
              <w:rPr>
                <w:rFonts w:ascii="Arial" w:hAnsi="Arial"/>
                <w:sz w:val="20"/>
              </w:rPr>
              <w:t>Heavily digital-native community may not value proximity verification as much</w:t>
            </w:r>
          </w:p>
        </w:tc>
        <w:tc>
          <w:tcPr>
            <w:tcW w:type="dxa" w:w="2160"/>
          </w:tcPr>
          <w:p>
            <w:r/>
            <w:r>
              <w:rPr>
                <w:rFonts w:ascii="Arial" w:hAnsi="Arial"/>
                <w:sz w:val="20"/>
              </w:rPr>
              <w:t>Hosting platforms, microphone brands, editing software, ad networks</w:t>
            </w:r>
          </w:p>
        </w:tc>
      </w:tr>
      <w:tr>
        <w:tc>
          <w:tcPr>
            <w:tcW w:type="dxa" w:w="1728"/>
          </w:tcPr>
          <w:p>
            <w:r/>
            <w:r>
              <w:rPr>
                <w:rFonts w:ascii="Arial" w:hAnsi="Arial"/>
                <w:sz w:val="20"/>
              </w:rPr>
              <w:t>Healthcare Professionals</w:t>
            </w:r>
          </w:p>
        </w:tc>
        <w:tc>
          <w:tcPr>
            <w:tcW w:type="dxa" w:w="2880"/>
          </w:tcPr>
          <w:p>
            <w:r/>
            <w:r>
              <w:rPr>
                <w:rFonts w:ascii="Arial" w:hAnsi="Arial"/>
                <w:sz w:val="20"/>
              </w:rPr>
              <w:t>Medical conferences, CME events, hospital networking. Specialties: physician, nurse, PA, pharmacist, specialist.</w:t>
            </w:r>
          </w:p>
        </w:tc>
        <w:tc>
          <w:tcPr>
            <w:tcW w:type="dxa" w:w="2592"/>
          </w:tcPr>
          <w:p>
            <w:r/>
            <w:r>
              <w:rPr>
                <w:rFonts w:ascii="Arial" w:hAnsi="Arial"/>
                <w:sz w:val="20"/>
              </w:rPr>
              <w:t>Doximity dominates. Regulatory (HIPAA) complexity. High barrier to entry.</w:t>
            </w:r>
          </w:p>
        </w:tc>
        <w:tc>
          <w:tcPr>
            <w:tcW w:type="dxa" w:w="2160"/>
          </w:tcPr>
          <w:p>
            <w:r/>
            <w:r>
              <w:rPr>
                <w:rFonts w:ascii="Arial" w:hAnsi="Arial"/>
                <w:sz w:val="20"/>
              </w:rPr>
              <w:t>Pharmaceutical companies, medical device manufacturers, health IT</w:t>
            </w:r>
          </w:p>
        </w:tc>
      </w:tr>
    </w:tbl>
    <w:p/>
    <w:p>
      <w:pPr>
        <w:pStyle w:val="Heading2"/>
      </w:pPr>
      <w:r>
        <w:t>3.5 Vertical Prioritization Matrix</w:t>
      </w:r>
    </w:p>
    <w:tbl>
      <w:tblPr>
        <w:tblStyle w:val="LightGrid-Accent1"/>
        <w:tblW w:type="auto" w:w="0"/>
        <w:jc w:val="left"/>
        <w:tblLook w:firstColumn="1" w:firstRow="1" w:lastColumn="0" w:lastRow="0" w:noHBand="0" w:noVBand="1" w:val="04A0"/>
      </w:tblPr>
      <w:tblGrid>
        <w:gridCol w:w="1560"/>
        <w:gridCol w:w="1560"/>
        <w:gridCol w:w="1560"/>
        <w:gridCol w:w="1560"/>
        <w:gridCol w:w="1560"/>
        <w:gridCol w:w="1560"/>
      </w:tblGrid>
      <w:tr>
        <w:tc>
          <w:tcPr>
            <w:tcW w:type="dxa" w:w="1872"/>
          </w:tcPr>
          <w:p>
            <w:r/>
            <w:r>
              <w:rPr>
                <w:rFonts w:ascii="Arial" w:hAnsi="Arial"/>
                <w:b/>
                <w:sz w:val="20"/>
              </w:rPr>
              <w:t>Vertical</w:t>
            </w:r>
          </w:p>
        </w:tc>
        <w:tc>
          <w:tcPr>
            <w:tcW w:type="dxa" w:w="1440"/>
          </w:tcPr>
          <w:p>
            <w:r/>
            <w:r>
              <w:rPr>
                <w:rFonts w:ascii="Arial" w:hAnsi="Arial"/>
                <w:b/>
                <w:sz w:val="20"/>
              </w:rPr>
              <w:t>Event Frequency</w:t>
            </w:r>
          </w:p>
        </w:tc>
        <w:tc>
          <w:tcPr>
            <w:tcW w:type="dxa" w:w="1440"/>
          </w:tcPr>
          <w:p>
            <w:r/>
            <w:r>
              <w:rPr>
                <w:rFonts w:ascii="Arial" w:hAnsi="Arial"/>
                <w:b/>
                <w:sz w:val="20"/>
              </w:rPr>
              <w:t>Specialty Taxonomy</w:t>
            </w:r>
          </w:p>
        </w:tc>
        <w:tc>
          <w:tcPr>
            <w:tcW w:type="dxa" w:w="1440"/>
          </w:tcPr>
          <w:p>
            <w:r/>
            <w:r>
              <w:rPr>
                <w:rFonts w:ascii="Arial" w:hAnsi="Arial"/>
                <w:b/>
                <w:sz w:val="20"/>
              </w:rPr>
              <w:t>Sponsor $$$</w:t>
            </w:r>
          </w:p>
        </w:tc>
        <w:tc>
          <w:tcPr>
            <w:tcW w:type="dxa" w:w="1728"/>
          </w:tcPr>
          <w:p>
            <w:r/>
            <w:r>
              <w:rPr>
                <w:rFonts w:ascii="Arial" w:hAnsi="Arial"/>
                <w:b/>
                <w:sz w:val="20"/>
              </w:rPr>
              <w:t>Underserved?</w:t>
            </w:r>
          </w:p>
        </w:tc>
        <w:tc>
          <w:tcPr>
            <w:tcW w:type="dxa" w:w="1440"/>
          </w:tcPr>
          <w:p>
            <w:r/>
            <w:r>
              <w:rPr>
                <w:rFonts w:ascii="Arial" w:hAnsi="Arial"/>
                <w:b/>
                <w:sz w:val="20"/>
              </w:rPr>
              <w:t>Overall Score</w:t>
            </w:r>
          </w:p>
        </w:tc>
      </w:tr>
      <w:tr>
        <w:tc>
          <w:tcPr>
            <w:tcW w:type="dxa" w:w="1872"/>
          </w:tcPr>
          <w:p>
            <w:r/>
            <w:r>
              <w:rPr>
                <w:rFonts w:ascii="Arial" w:hAnsi="Arial"/>
                <w:sz w:val="20"/>
              </w:rPr>
              <w:t>Music / Independent Music</w:t>
            </w:r>
          </w:p>
        </w:tc>
        <w:tc>
          <w:tcPr>
            <w:tcW w:type="dxa" w:w="1440"/>
          </w:tcPr>
          <w:p>
            <w:r/>
            <w:r>
              <w:rPr>
                <w:rFonts w:ascii="Arial" w:hAnsi="Arial"/>
                <w:sz w:val="20"/>
              </w:rPr>
              <w:t>Very High</w:t>
            </w:r>
          </w:p>
        </w:tc>
        <w:tc>
          <w:tcPr>
            <w:tcW w:type="dxa" w:w="1440"/>
          </w:tcPr>
          <w:p>
            <w:r/>
            <w:r>
              <w:rPr>
                <w:rFonts w:ascii="Arial" w:hAnsi="Arial"/>
                <w:sz w:val="20"/>
              </w:rPr>
              <w:t>Strong</w:t>
            </w:r>
          </w:p>
        </w:tc>
        <w:tc>
          <w:tcPr>
            <w:tcW w:type="dxa" w:w="1440"/>
          </w:tcPr>
          <w:p>
            <w:r/>
            <w:r>
              <w:rPr>
                <w:rFonts w:ascii="Arial" w:hAnsi="Arial"/>
                <w:sz w:val="20"/>
              </w:rPr>
              <w:t>High</w:t>
            </w:r>
          </w:p>
        </w:tc>
        <w:tc>
          <w:tcPr>
            <w:tcW w:type="dxa" w:w="1728"/>
          </w:tcPr>
          <w:p>
            <w:r/>
            <w:r>
              <w:rPr>
                <w:rFonts w:ascii="Arial" w:hAnsi="Arial"/>
                <w:sz w:val="20"/>
              </w:rPr>
              <w:t>Yes</w:t>
            </w:r>
          </w:p>
        </w:tc>
        <w:tc>
          <w:tcPr>
            <w:tcW w:type="dxa" w:w="1440"/>
          </w:tcPr>
          <w:p>
            <w:r/>
            <w:r>
              <w:rPr>
                <w:rFonts w:ascii="Arial" w:hAnsi="Arial"/>
                <w:sz w:val="20"/>
              </w:rPr>
              <w:t>★★★★★</w:t>
            </w:r>
          </w:p>
        </w:tc>
      </w:tr>
      <w:tr>
        <w:tc>
          <w:tcPr>
            <w:tcW w:type="dxa" w:w="1872"/>
          </w:tcPr>
          <w:p>
            <w:r/>
            <w:r>
              <w:rPr>
                <w:rFonts w:ascii="Arial" w:hAnsi="Arial"/>
                <w:sz w:val="20"/>
              </w:rPr>
              <w:t>Culinary / F&amp;B</w:t>
            </w:r>
          </w:p>
        </w:tc>
        <w:tc>
          <w:tcPr>
            <w:tcW w:type="dxa" w:w="1440"/>
          </w:tcPr>
          <w:p>
            <w:r/>
            <w:r>
              <w:rPr>
                <w:rFonts w:ascii="Arial" w:hAnsi="Arial"/>
                <w:sz w:val="20"/>
              </w:rPr>
              <w:t>High</w:t>
            </w:r>
          </w:p>
        </w:tc>
        <w:tc>
          <w:tcPr>
            <w:tcW w:type="dxa" w:w="1440"/>
          </w:tcPr>
          <w:p>
            <w:r/>
            <w:r>
              <w:rPr>
                <w:rFonts w:ascii="Arial" w:hAnsi="Arial"/>
                <w:sz w:val="20"/>
              </w:rPr>
              <w:t>Strong</w:t>
            </w:r>
          </w:p>
        </w:tc>
        <w:tc>
          <w:tcPr>
            <w:tcW w:type="dxa" w:w="1440"/>
          </w:tcPr>
          <w:p>
            <w:r/>
            <w:r>
              <w:rPr>
                <w:rFonts w:ascii="Arial" w:hAnsi="Arial"/>
                <w:sz w:val="20"/>
              </w:rPr>
              <w:t>High</w:t>
            </w:r>
          </w:p>
        </w:tc>
        <w:tc>
          <w:tcPr>
            <w:tcW w:type="dxa" w:w="1728"/>
          </w:tcPr>
          <w:p>
            <w:r/>
            <w:r>
              <w:rPr>
                <w:rFonts w:ascii="Arial" w:hAnsi="Arial"/>
                <w:sz w:val="20"/>
              </w:rPr>
              <w:t>Yes</w:t>
            </w:r>
          </w:p>
        </w:tc>
        <w:tc>
          <w:tcPr>
            <w:tcW w:type="dxa" w:w="1440"/>
          </w:tcPr>
          <w:p>
            <w:r/>
            <w:r>
              <w:rPr>
                <w:rFonts w:ascii="Arial" w:hAnsi="Arial"/>
                <w:sz w:val="20"/>
              </w:rPr>
              <w:t>★★★★★</w:t>
            </w:r>
          </w:p>
        </w:tc>
      </w:tr>
      <w:tr>
        <w:tc>
          <w:tcPr>
            <w:tcW w:type="dxa" w:w="1872"/>
          </w:tcPr>
          <w:p>
            <w:r/>
            <w:r>
              <w:rPr>
                <w:rFonts w:ascii="Arial" w:hAnsi="Arial"/>
                <w:sz w:val="20"/>
              </w:rPr>
              <w:t>Wedding / Events Industry</w:t>
            </w:r>
          </w:p>
        </w:tc>
        <w:tc>
          <w:tcPr>
            <w:tcW w:type="dxa" w:w="1440"/>
          </w:tcPr>
          <w:p>
            <w:r/>
            <w:r>
              <w:rPr>
                <w:rFonts w:ascii="Arial" w:hAnsi="Arial"/>
                <w:sz w:val="20"/>
              </w:rPr>
              <w:t>High</w:t>
            </w:r>
          </w:p>
        </w:tc>
        <w:tc>
          <w:tcPr>
            <w:tcW w:type="dxa" w:w="1440"/>
          </w:tcPr>
          <w:p>
            <w:r/>
            <w:r>
              <w:rPr>
                <w:rFonts w:ascii="Arial" w:hAnsi="Arial"/>
                <w:sz w:val="20"/>
              </w:rPr>
              <w:t>Very Strong</w:t>
            </w:r>
          </w:p>
        </w:tc>
        <w:tc>
          <w:tcPr>
            <w:tcW w:type="dxa" w:w="1440"/>
          </w:tcPr>
          <w:p>
            <w:r/>
            <w:r>
              <w:rPr>
                <w:rFonts w:ascii="Arial" w:hAnsi="Arial"/>
                <w:sz w:val="20"/>
              </w:rPr>
              <w:t>Medium-High</w:t>
            </w:r>
          </w:p>
        </w:tc>
        <w:tc>
          <w:tcPr>
            <w:tcW w:type="dxa" w:w="1728"/>
          </w:tcPr>
          <w:p>
            <w:r/>
            <w:r>
              <w:rPr>
                <w:rFonts w:ascii="Arial" w:hAnsi="Arial"/>
                <w:sz w:val="20"/>
              </w:rPr>
              <w:t>Yes</w:t>
            </w:r>
          </w:p>
        </w:tc>
        <w:tc>
          <w:tcPr>
            <w:tcW w:type="dxa" w:w="1440"/>
          </w:tcPr>
          <w:p>
            <w:r/>
            <w:r>
              <w:rPr>
                <w:rFonts w:ascii="Arial" w:hAnsi="Arial"/>
                <w:sz w:val="20"/>
              </w:rPr>
              <w:t>★★★★★</w:t>
            </w:r>
          </w:p>
        </w:tc>
      </w:tr>
      <w:tr>
        <w:tc>
          <w:tcPr>
            <w:tcW w:type="dxa" w:w="1872"/>
          </w:tcPr>
          <w:p>
            <w:r/>
            <w:r>
              <w:rPr>
                <w:rFonts w:ascii="Arial" w:hAnsi="Arial"/>
                <w:sz w:val="20"/>
              </w:rPr>
              <w:t>Fitness / Wellness</w:t>
            </w:r>
          </w:p>
        </w:tc>
        <w:tc>
          <w:tcPr>
            <w:tcW w:type="dxa" w:w="1440"/>
          </w:tcPr>
          <w:p>
            <w:r/>
            <w:r>
              <w:rPr>
                <w:rFonts w:ascii="Arial" w:hAnsi="Arial"/>
                <w:sz w:val="20"/>
              </w:rPr>
              <w:t>High</w:t>
            </w:r>
          </w:p>
        </w:tc>
        <w:tc>
          <w:tcPr>
            <w:tcW w:type="dxa" w:w="1440"/>
          </w:tcPr>
          <w:p>
            <w:r/>
            <w:r>
              <w:rPr>
                <w:rFonts w:ascii="Arial" w:hAnsi="Arial"/>
                <w:sz w:val="20"/>
              </w:rPr>
              <w:t>Strong</w:t>
            </w:r>
          </w:p>
        </w:tc>
        <w:tc>
          <w:tcPr>
            <w:tcW w:type="dxa" w:w="1440"/>
          </w:tcPr>
          <w:p>
            <w:r/>
            <w:r>
              <w:rPr>
                <w:rFonts w:ascii="Arial" w:hAnsi="Arial"/>
                <w:sz w:val="20"/>
              </w:rPr>
              <w:t>Very High</w:t>
            </w:r>
          </w:p>
        </w:tc>
        <w:tc>
          <w:tcPr>
            <w:tcW w:type="dxa" w:w="1728"/>
          </w:tcPr>
          <w:p>
            <w:r/>
            <w:r>
              <w:rPr>
                <w:rFonts w:ascii="Arial" w:hAnsi="Arial"/>
                <w:sz w:val="20"/>
              </w:rPr>
              <w:t>Partially</w:t>
            </w:r>
          </w:p>
        </w:tc>
        <w:tc>
          <w:tcPr>
            <w:tcW w:type="dxa" w:w="1440"/>
          </w:tcPr>
          <w:p>
            <w:r/>
            <w:r>
              <w:rPr>
                <w:rFonts w:ascii="Arial" w:hAnsi="Arial"/>
                <w:sz w:val="20"/>
              </w:rPr>
              <w:t>★★★★</w:t>
            </w:r>
          </w:p>
        </w:tc>
      </w:tr>
      <w:tr>
        <w:tc>
          <w:tcPr>
            <w:tcW w:type="dxa" w:w="1872"/>
          </w:tcPr>
          <w:p>
            <w:r/>
            <w:r>
              <w:rPr>
                <w:rFonts w:ascii="Arial" w:hAnsi="Arial"/>
                <w:sz w:val="20"/>
              </w:rPr>
              <w:t>Craft Beverage</w:t>
            </w:r>
          </w:p>
        </w:tc>
        <w:tc>
          <w:tcPr>
            <w:tcW w:type="dxa" w:w="1440"/>
          </w:tcPr>
          <w:p>
            <w:r/>
            <w:r>
              <w:rPr>
                <w:rFonts w:ascii="Arial" w:hAnsi="Arial"/>
                <w:sz w:val="20"/>
              </w:rPr>
              <w:t>Medium-High</w:t>
            </w:r>
          </w:p>
        </w:tc>
        <w:tc>
          <w:tcPr>
            <w:tcW w:type="dxa" w:w="1440"/>
          </w:tcPr>
          <w:p>
            <w:r/>
            <w:r>
              <w:rPr>
                <w:rFonts w:ascii="Arial" w:hAnsi="Arial"/>
                <w:sz w:val="20"/>
              </w:rPr>
              <w:t>Strong</w:t>
            </w:r>
          </w:p>
        </w:tc>
        <w:tc>
          <w:tcPr>
            <w:tcW w:type="dxa" w:w="1440"/>
          </w:tcPr>
          <w:p>
            <w:r/>
            <w:r>
              <w:rPr>
                <w:rFonts w:ascii="Arial" w:hAnsi="Arial"/>
                <w:sz w:val="20"/>
              </w:rPr>
              <w:t>Medium</w:t>
            </w:r>
          </w:p>
        </w:tc>
        <w:tc>
          <w:tcPr>
            <w:tcW w:type="dxa" w:w="1728"/>
          </w:tcPr>
          <w:p>
            <w:r/>
            <w:r>
              <w:rPr>
                <w:rFonts w:ascii="Arial" w:hAnsi="Arial"/>
                <w:sz w:val="20"/>
              </w:rPr>
              <w:t>Yes</w:t>
            </w:r>
          </w:p>
        </w:tc>
        <w:tc>
          <w:tcPr>
            <w:tcW w:type="dxa" w:w="1440"/>
          </w:tcPr>
          <w:p>
            <w:r/>
            <w:r>
              <w:rPr>
                <w:rFonts w:ascii="Arial" w:hAnsi="Arial"/>
                <w:sz w:val="20"/>
              </w:rPr>
              <w:t>★★★★</w:t>
            </w:r>
          </w:p>
        </w:tc>
      </w:tr>
      <w:tr>
        <w:tc>
          <w:tcPr>
            <w:tcW w:type="dxa" w:w="1872"/>
          </w:tcPr>
          <w:p>
            <w:r/>
            <w:r>
              <w:rPr>
                <w:rFonts w:ascii="Arial" w:hAnsi="Arial"/>
                <w:sz w:val="20"/>
              </w:rPr>
              <w:t>Fashion / Apparel</w:t>
            </w:r>
          </w:p>
        </w:tc>
        <w:tc>
          <w:tcPr>
            <w:tcW w:type="dxa" w:w="1440"/>
          </w:tcPr>
          <w:p>
            <w:r/>
            <w:r>
              <w:rPr>
                <w:rFonts w:ascii="Arial" w:hAnsi="Arial"/>
                <w:sz w:val="20"/>
              </w:rPr>
              <w:t>Medium</w:t>
            </w:r>
          </w:p>
        </w:tc>
        <w:tc>
          <w:tcPr>
            <w:tcW w:type="dxa" w:w="1440"/>
          </w:tcPr>
          <w:p>
            <w:r/>
            <w:r>
              <w:rPr>
                <w:rFonts w:ascii="Arial" w:hAnsi="Arial"/>
                <w:sz w:val="20"/>
              </w:rPr>
              <w:t>Strong</w:t>
            </w:r>
          </w:p>
        </w:tc>
        <w:tc>
          <w:tcPr>
            <w:tcW w:type="dxa" w:w="1440"/>
          </w:tcPr>
          <w:p>
            <w:r/>
            <w:r>
              <w:rPr>
                <w:rFonts w:ascii="Arial" w:hAnsi="Arial"/>
                <w:sz w:val="20"/>
              </w:rPr>
              <w:t>High</w:t>
            </w:r>
          </w:p>
        </w:tc>
        <w:tc>
          <w:tcPr>
            <w:tcW w:type="dxa" w:w="1728"/>
          </w:tcPr>
          <w:p>
            <w:r/>
            <w:r>
              <w:rPr>
                <w:rFonts w:ascii="Arial" w:hAnsi="Arial"/>
                <w:sz w:val="20"/>
              </w:rPr>
              <w:t>Partially</w:t>
            </w:r>
          </w:p>
        </w:tc>
        <w:tc>
          <w:tcPr>
            <w:tcW w:type="dxa" w:w="1440"/>
          </w:tcPr>
          <w:p>
            <w:r/>
            <w:r>
              <w:rPr>
                <w:rFonts w:ascii="Arial" w:hAnsi="Arial"/>
                <w:sz w:val="20"/>
              </w:rPr>
              <w:t>★★★★</w:t>
            </w:r>
          </w:p>
        </w:tc>
      </w:tr>
      <w:tr>
        <w:tc>
          <w:tcPr>
            <w:tcW w:type="dxa" w:w="1872"/>
          </w:tcPr>
          <w:p>
            <w:r/>
            <w:r>
              <w:rPr>
                <w:rFonts w:ascii="Arial" w:hAnsi="Arial"/>
                <w:sz w:val="20"/>
              </w:rPr>
              <w:t>Real Estate</w:t>
            </w:r>
          </w:p>
        </w:tc>
        <w:tc>
          <w:tcPr>
            <w:tcW w:type="dxa" w:w="1440"/>
          </w:tcPr>
          <w:p>
            <w:r/>
            <w:r>
              <w:rPr>
                <w:rFonts w:ascii="Arial" w:hAnsi="Arial"/>
                <w:sz w:val="20"/>
              </w:rPr>
              <w:t>Medium</w:t>
            </w:r>
          </w:p>
        </w:tc>
        <w:tc>
          <w:tcPr>
            <w:tcW w:type="dxa" w:w="1440"/>
          </w:tcPr>
          <w:p>
            <w:r/>
            <w:r>
              <w:rPr>
                <w:rFonts w:ascii="Arial" w:hAnsi="Arial"/>
                <w:sz w:val="20"/>
              </w:rPr>
              <w:t>Strong</w:t>
            </w:r>
          </w:p>
        </w:tc>
        <w:tc>
          <w:tcPr>
            <w:tcW w:type="dxa" w:w="1440"/>
          </w:tcPr>
          <w:p>
            <w:r/>
            <w:r>
              <w:rPr>
                <w:rFonts w:ascii="Arial" w:hAnsi="Arial"/>
                <w:sz w:val="20"/>
              </w:rPr>
              <w:t>High</w:t>
            </w:r>
          </w:p>
        </w:tc>
        <w:tc>
          <w:tcPr>
            <w:tcW w:type="dxa" w:w="1728"/>
          </w:tcPr>
          <w:p>
            <w:r/>
            <w:r>
              <w:rPr>
                <w:rFonts w:ascii="Arial" w:hAnsi="Arial"/>
                <w:sz w:val="20"/>
              </w:rPr>
              <w:t>No (ActiveRain etc.)</w:t>
            </w:r>
          </w:p>
        </w:tc>
        <w:tc>
          <w:tcPr>
            <w:tcW w:type="dxa" w:w="1440"/>
          </w:tcPr>
          <w:p>
            <w:r/>
            <w:r>
              <w:rPr>
                <w:rFonts w:ascii="Arial" w:hAnsi="Arial"/>
                <w:sz w:val="20"/>
              </w:rPr>
              <w:t>★★★</w:t>
            </w:r>
          </w:p>
        </w:tc>
      </w:tr>
      <w:tr>
        <w:tc>
          <w:tcPr>
            <w:tcW w:type="dxa" w:w="1872"/>
          </w:tcPr>
          <w:p>
            <w:r/>
            <w:r>
              <w:rPr>
                <w:rFonts w:ascii="Arial" w:hAnsi="Arial"/>
                <w:sz w:val="20"/>
              </w:rPr>
              <w:t>Cannabis Industry</w:t>
            </w:r>
          </w:p>
        </w:tc>
        <w:tc>
          <w:tcPr>
            <w:tcW w:type="dxa" w:w="1440"/>
          </w:tcPr>
          <w:p>
            <w:r/>
            <w:r>
              <w:rPr>
                <w:rFonts w:ascii="Arial" w:hAnsi="Arial"/>
                <w:sz w:val="20"/>
              </w:rPr>
              <w:t>Medium</w:t>
            </w:r>
          </w:p>
        </w:tc>
        <w:tc>
          <w:tcPr>
            <w:tcW w:type="dxa" w:w="1440"/>
          </w:tcPr>
          <w:p>
            <w:r/>
            <w:r>
              <w:rPr>
                <w:rFonts w:ascii="Arial" w:hAnsi="Arial"/>
                <w:sz w:val="20"/>
              </w:rPr>
              <w:t>Emerging</w:t>
            </w:r>
          </w:p>
        </w:tc>
        <w:tc>
          <w:tcPr>
            <w:tcW w:type="dxa" w:w="1440"/>
          </w:tcPr>
          <w:p>
            <w:r/>
            <w:r>
              <w:rPr>
                <w:rFonts w:ascii="Arial" w:hAnsi="Arial"/>
                <w:sz w:val="20"/>
              </w:rPr>
              <w:t>Medium</w:t>
            </w:r>
          </w:p>
        </w:tc>
        <w:tc>
          <w:tcPr>
            <w:tcW w:type="dxa" w:w="1728"/>
          </w:tcPr>
          <w:p>
            <w:r/>
            <w:r>
              <w:rPr>
                <w:rFonts w:ascii="Arial" w:hAnsi="Arial"/>
                <w:sz w:val="20"/>
              </w:rPr>
              <w:t>Yes</w:t>
            </w:r>
          </w:p>
        </w:tc>
        <w:tc>
          <w:tcPr>
            <w:tcW w:type="dxa" w:w="1440"/>
          </w:tcPr>
          <w:p>
            <w:r/>
            <w:r>
              <w:rPr>
                <w:rFonts w:ascii="Arial" w:hAnsi="Arial"/>
                <w:sz w:val="20"/>
              </w:rPr>
              <w:t>★★★</w:t>
            </w:r>
          </w:p>
        </w:tc>
      </w:tr>
      <w:tr>
        <w:tc>
          <w:tcPr>
            <w:tcW w:type="dxa" w:w="1872"/>
          </w:tcPr>
          <w:p>
            <w:r/>
            <w:r>
              <w:rPr>
                <w:rFonts w:ascii="Arial" w:hAnsi="Arial"/>
                <w:sz w:val="20"/>
              </w:rPr>
              <w:t>Skilled Trades</w:t>
            </w:r>
          </w:p>
        </w:tc>
        <w:tc>
          <w:tcPr>
            <w:tcW w:type="dxa" w:w="1440"/>
          </w:tcPr>
          <w:p>
            <w:r/>
            <w:r>
              <w:rPr>
                <w:rFonts w:ascii="Arial" w:hAnsi="Arial"/>
                <w:sz w:val="20"/>
              </w:rPr>
              <w:t>Medium</w:t>
            </w:r>
          </w:p>
        </w:tc>
        <w:tc>
          <w:tcPr>
            <w:tcW w:type="dxa" w:w="1440"/>
          </w:tcPr>
          <w:p>
            <w:r/>
            <w:r>
              <w:rPr>
                <w:rFonts w:ascii="Arial" w:hAnsi="Arial"/>
                <w:sz w:val="20"/>
              </w:rPr>
              <w:t>Strong</w:t>
            </w:r>
          </w:p>
        </w:tc>
        <w:tc>
          <w:tcPr>
            <w:tcW w:type="dxa" w:w="1440"/>
          </w:tcPr>
          <w:p>
            <w:r/>
            <w:r>
              <w:rPr>
                <w:rFonts w:ascii="Arial" w:hAnsi="Arial"/>
                <w:sz w:val="20"/>
              </w:rPr>
              <w:t>Very High</w:t>
            </w:r>
          </w:p>
        </w:tc>
        <w:tc>
          <w:tcPr>
            <w:tcW w:type="dxa" w:w="1728"/>
          </w:tcPr>
          <w:p>
            <w:r/>
            <w:r>
              <w:rPr>
                <w:rFonts w:ascii="Arial" w:hAnsi="Arial"/>
                <w:sz w:val="20"/>
              </w:rPr>
              <w:t>Yes</w:t>
            </w:r>
          </w:p>
        </w:tc>
        <w:tc>
          <w:tcPr>
            <w:tcW w:type="dxa" w:w="1440"/>
          </w:tcPr>
          <w:p>
            <w:r/>
            <w:r>
              <w:rPr>
                <w:rFonts w:ascii="Arial" w:hAnsi="Arial"/>
                <w:sz w:val="20"/>
              </w:rPr>
              <w:t>★★★</w:t>
            </w:r>
          </w:p>
        </w:tc>
      </w:tr>
      <w:tr>
        <w:tc>
          <w:tcPr>
            <w:tcW w:type="dxa" w:w="1872"/>
          </w:tcPr>
          <w:p>
            <w:r/>
            <w:r>
              <w:rPr>
                <w:rFonts w:ascii="Arial" w:hAnsi="Arial"/>
                <w:sz w:val="20"/>
              </w:rPr>
              <w:t>Tech Startups</w:t>
            </w:r>
          </w:p>
        </w:tc>
        <w:tc>
          <w:tcPr>
            <w:tcW w:type="dxa" w:w="1440"/>
          </w:tcPr>
          <w:p>
            <w:r/>
            <w:r>
              <w:rPr>
                <w:rFonts w:ascii="Arial" w:hAnsi="Arial"/>
                <w:sz w:val="20"/>
              </w:rPr>
              <w:t>Very High</w:t>
            </w:r>
          </w:p>
        </w:tc>
        <w:tc>
          <w:tcPr>
            <w:tcW w:type="dxa" w:w="1440"/>
          </w:tcPr>
          <w:p>
            <w:r/>
            <w:r>
              <w:rPr>
                <w:rFonts w:ascii="Arial" w:hAnsi="Arial"/>
                <w:sz w:val="20"/>
              </w:rPr>
              <w:t>Strong</w:t>
            </w:r>
          </w:p>
        </w:tc>
        <w:tc>
          <w:tcPr>
            <w:tcW w:type="dxa" w:w="1440"/>
          </w:tcPr>
          <w:p>
            <w:r/>
            <w:r>
              <w:rPr>
                <w:rFonts w:ascii="Arial" w:hAnsi="Arial"/>
                <w:sz w:val="20"/>
              </w:rPr>
              <w:t>Very High</w:t>
            </w:r>
          </w:p>
        </w:tc>
        <w:tc>
          <w:tcPr>
            <w:tcW w:type="dxa" w:w="1728"/>
          </w:tcPr>
          <w:p>
            <w:r/>
            <w:r>
              <w:rPr>
                <w:rFonts w:ascii="Arial" w:hAnsi="Arial"/>
                <w:sz w:val="20"/>
              </w:rPr>
              <w:t>No (LinkedIn/X)</w:t>
            </w:r>
          </w:p>
        </w:tc>
        <w:tc>
          <w:tcPr>
            <w:tcW w:type="dxa" w:w="1440"/>
          </w:tcPr>
          <w:p>
            <w:r/>
            <w:r>
              <w:rPr>
                <w:rFonts w:ascii="Arial" w:hAnsi="Arial"/>
                <w:sz w:val="20"/>
              </w:rPr>
              <w:t>★★</w:t>
            </w:r>
          </w:p>
        </w:tc>
      </w:tr>
    </w:tbl>
    <w:p/>
    <w:p>
      <w:r>
        <w:br w:type="page"/>
      </w:r>
    </w:p>
    <w:p>
      <w:pPr>
        <w:pStyle w:val="Heading1"/>
      </w:pPr>
      <w:r>
        <w:t>Part 4: Strategic Conclusions</w:t>
      </w:r>
    </w:p>
    <w:p>
      <w:pPr>
        <w:pStyle w:val="Heading2"/>
      </w:pPr>
      <w:r>
        <w:t>4.1 Patentability Assessment</w:t>
      </w:r>
    </w:p>
    <w:p>
      <w:pPr>
        <w:spacing w:after="160" w:before="0"/>
      </w:pPr>
      <w:r>
        <w:rPr>
          <w:b w:val="0"/>
        </w:rPr>
        <w:t>Individual components of IN's methodology are well-covered by prior art. QR scanning for social connections, proximity-based networking, event check-in, and social graph analytics are all subjects of existing patents. However, the integrated system — combining exclusive QR graph creation, event-bound metadata on every edge, a behavioral verification state machine, and the derivation of professional audience intelligence from a proximity-verified graph — appears to occupy unclaimed patent space.</w:t>
      </w:r>
    </w:p>
    <w:p>
      <w:pPr>
        <w:spacing w:after="160" w:before="0"/>
      </w:pPr>
      <w:r>
        <w:rPr>
          <w:b w:val="0"/>
        </w:rPr>
        <w:t>The most promising patent claim would be a method patent covering this integrated system, drafted to emphasize the technical architecture rather than the abstract business concept. The current USPTO environment under Director Squires, following Ex parte Desjardins (2025), is the most favorable for software method patents in a decade.</w:t>
      </w:r>
    </w:p>
    <w:p>
      <w:pPr>
        <w:spacing w:after="240" w:before="0"/>
      </w:pPr>
      <w:r>
        <w:rPr>
          <w:b/>
        </w:rPr>
        <w:t>Urgency: If IN has been publicly demonstrated at events or described in publicly accessible materials, the one-year grace period for US patent filing is running. A provisional patent application should be filed as soon as practical.</w:t>
      </w:r>
    </w:p>
    <w:p>
      <w:pPr>
        <w:pStyle w:val="Heading2"/>
      </w:pPr>
      <w:r>
        <w:t>4.2 Competitive Moat</w:t>
      </w:r>
    </w:p>
    <w:p>
      <w:pPr>
        <w:spacing w:after="160" w:before="0"/>
      </w:pPr>
      <w:r>
        <w:rPr>
          <w:b w:val="0"/>
        </w:rPr>
        <w:t>No existing platform replicates IN's full model. Event platforms (Swapcard, Grip) build per-event connections that disappear. Digital business card apps (Popl, Blinq) exchange contacts without building a graph. Creative platforms (Model Mayhem, Behance) are portfolio-first with no event verification. Professional matching apps (Shapr, Bumble Bizz) use algorithms without proximity verification — and several have failed.</w:t>
      </w:r>
    </w:p>
    <w:p>
      <w:pPr>
        <w:spacing w:after="240" w:before="0"/>
      </w:pPr>
      <w:r>
        <w:rPr>
          <w:b w:val="0"/>
        </w:rPr>
        <w:t>IN's defensibility comes from the data asset: a growing graph of proximity-verified professional connections with event metadata and specialty tags. This cannot be replicated by a digital-only platform. Every event adds edges to the graph that carry trust signals no competitor can generate without running their own physical events.</w:t>
      </w:r>
    </w:p>
    <w:p>
      <w:pPr>
        <w:pStyle w:val="Heading2"/>
      </w:pPr>
      <w:r>
        <w:t>4.3 Multi-Vertical Opportunity</w:t>
      </w:r>
    </w:p>
    <w:p>
      <w:pPr>
        <w:spacing w:after="160" w:before="0"/>
      </w:pPr>
      <w:r>
        <w:rPr>
          <w:b w:val="0"/>
        </w:rPr>
        <w:t>The IN methodology is vertical-agnostic in its core architecture. The specialty taxonomy, event types, and sponsor ecosystem change per vertical, but the underlying system (QR graph creation, behavioral verification, audience intelligence derivation) remains identical. The top three adjacent verticals — music/independent music, culinary/F&amp;B, and wedding/events industry — share IN's core characteristics: regular professional events, strong cross-specialty collaboration, underserved networking needs, and clear sponsor monetization paths.</w:t>
      </w:r>
    </w:p>
    <w:p>
      <w:pPr>
        <w:spacing w:after="240" w:before="0"/>
      </w:pPr>
      <w:r>
        <w:rPr>
          <w:b w:val="0"/>
        </w:rPr>
        <w:t>A multi-vertical strategy strengthens both the patent position (demonstrating the method's generality) and the business model (recurring revenue across verticals using a shared platform).</w:t>
      </w:r>
    </w:p>
    <w:p>
      <w:pPr>
        <w:pStyle w:val="Heading2"/>
      </w:pPr>
      <w:r>
        <w:t>4.4 Recommended Next Steps</w:t>
      </w:r>
    </w:p>
    <w:p>
      <w:pPr>
        <w:spacing w:after="160"/>
      </w:pPr>
      <w:r>
        <w:rPr>
          <w:rFonts w:ascii="Arial" w:hAnsi="Arial"/>
          <w:b/>
          <w:sz w:val="22"/>
        </w:rPr>
        <w:t xml:space="preserve">1. File a provisional patent application: </w:t>
      </w:r>
      <w:r>
        <w:rPr>
          <w:rFonts w:ascii="Arial" w:hAnsi="Arial"/>
          <w:sz w:val="22"/>
        </w:rPr>
        <w:t>Engage a patent attorney specializing in software method patents. Draft claims around the integrated system (not individual features). Establish a priority date before any additional public disclosure. Budget: $1,500-3,000 for provisional.</w:t>
      </w:r>
    </w:p>
    <w:p>
      <w:pPr>
        <w:spacing w:after="160"/>
      </w:pPr>
      <w:r>
        <w:rPr>
          <w:rFonts w:ascii="Arial" w:hAnsi="Arial"/>
          <w:b/>
          <w:sz w:val="22"/>
        </w:rPr>
        <w:t xml:space="preserve">2. Conduct a formal prior art search: </w:t>
      </w:r>
      <w:r>
        <w:rPr>
          <w:rFonts w:ascii="Arial" w:hAnsi="Arial"/>
          <w:sz w:val="22"/>
        </w:rPr>
        <w:t>The attorney should search USPTO Class 705/319 and related classes using professional patent databases (not just Google Patents). Focus on granted patents in the QR-networking and event-social-graph spaces. Budget: $2,000-4,000 for a formal freedom-to-operate search.</w:t>
      </w:r>
    </w:p>
    <w:p>
      <w:pPr>
        <w:spacing w:after="160"/>
      </w:pPr>
      <w:r>
        <w:rPr>
          <w:rFonts w:ascii="Arial" w:hAnsi="Arial"/>
          <w:b/>
          <w:sz w:val="22"/>
        </w:rPr>
        <w:t xml:space="preserve">3. Verify US20130043302A1 status: </w:t>
      </w:r>
      <w:r>
        <w:rPr>
          <w:rFonts w:ascii="Arial" w:hAnsi="Arial"/>
          <w:sz w:val="22"/>
        </w:rPr>
        <w:t>This is the most relevant prior art. Determine if it was granted, abandoned, or is still pending. If abandoned, it reduces the infringement risk. If granted, the specific claims need review.</w:t>
      </w:r>
    </w:p>
    <w:p>
      <w:pPr>
        <w:spacing w:after="160"/>
      </w:pPr>
      <w:r>
        <w:rPr>
          <w:rFonts w:ascii="Arial" w:hAnsi="Arial"/>
          <w:b/>
          <w:sz w:val="22"/>
        </w:rPr>
        <w:t xml:space="preserve">4. Document the integrated method: </w:t>
      </w:r>
      <w:r>
        <w:rPr>
          <w:rFonts w:ascii="Arial" w:hAnsi="Arial"/>
          <w:sz w:val="22"/>
        </w:rPr>
        <w:t>Create detailed technical documentation of IN's complete system architecture: QR graph creation protocol, behavioral verification state machine, event-metadata binding, audience intelligence derivation pipeline. This becomes the basis for patent claims.</w:t>
      </w:r>
    </w:p>
    <w:p>
      <w:pPr>
        <w:spacing w:after="160"/>
      </w:pPr>
      <w:r>
        <w:rPr>
          <w:rFonts w:ascii="Arial" w:hAnsi="Arial"/>
          <w:b/>
          <w:sz w:val="22"/>
        </w:rPr>
        <w:t xml:space="preserve">5. Evaluate multi-vertical expansion: </w:t>
      </w:r>
      <w:r>
        <w:rPr>
          <w:rFonts w:ascii="Arial" w:hAnsi="Arial"/>
          <w:sz w:val="22"/>
        </w:rPr>
        <w:t>Select one adjacent vertical for a pilot (recommended: wedding/events industry due to highest specialty referral density) and validate the model before filing a utility patent that covers multi-vertical application.</w:t>
      </w:r>
    </w:p>
    <w:p/>
    <w:p>
      <w:pPr>
        <w:spacing w:after="80" w:before="0"/>
      </w:pPr>
      <w:r>
        <w:rPr>
          <w:b w:val="0"/>
          <w:color w:val="999999"/>
          <w:sz w:val="18"/>
        </w:rPr>
        <w:t>This document is intended as a preliminary research tool to inform a conversation with a patent attorney. It does not constitute legal advice. All patent status information should be verified through USPTO records. Freedom-to-operate opinions require formal legal analysis of specific patent claims against the implementation.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