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pPr>
      <w:r>
        <w:rPr>
          <w:rFonts w:ascii="Calibri" w:hAnsi="Calibri"/>
          <w:b/>
          <w:color w:val="7C3AED"/>
          <w:sz w:val="24"/>
        </w:rPr>
        <w:t>INDUSTRY NIGHT</w:t>
      </w:r>
    </w:p>
    <w:p>
      <w:pPr>
        <w:spacing w:after="80"/>
      </w:pPr>
      <w:r>
        <w:rPr>
          <w:rFonts w:ascii="Calibri" w:hAnsi="Calibri"/>
          <w:b/>
          <w:color w:val="1F2037"/>
          <w:sz w:val="60"/>
        </w:rPr>
        <w:t>Market Intelligence Brief</w:t>
      </w:r>
    </w:p>
    <w:p>
      <w:pPr>
        <w:spacing w:after="160"/>
      </w:pPr>
      <w:r>
        <w:rPr>
          <w:rFonts w:ascii="Calibri" w:hAnsi="Calibri"/>
          <w:color w:val="7C3AED"/>
          <w:sz w:val="28"/>
        </w:rPr>
        <w:t>Q1 2026  |  New York City Creative Professionals</w:t>
      </w:r>
    </w:p>
    <w:p>
      <w:pPr>
        <w:spacing w:after="720"/>
      </w:pPr>
      <w:r>
        <w:rPr>
          <w:rFonts w:ascii="Calibri" w:hAnsi="Calibri"/>
          <w:i/>
          <w:color w:val="6B7280"/>
          <w:sz w:val="20"/>
        </w:rPr>
        <w:t>CONFIDENTIAL  —  Prepared exclusively for Olaplex Professional</w:t>
      </w:r>
    </w:p>
    <w:p>
      <w:pPr>
        <w:spacing w:before="560" w:after="240"/>
        <w:pBdr>
          <w:bottom w:val="single" w:sz="8" w:color="7C3AED" w:space="4"/>
        </w:pBdr>
      </w:pPr>
      <w:r>
        <w:rPr>
          <w:rFonts w:ascii="Calibri" w:hAnsi="Calibri"/>
          <w:b/>
          <w:color w:val="7C3AED"/>
          <w:sz w:val="36"/>
        </w:rPr>
        <w:t>Executive Summary</w:t>
      </w:r>
    </w:p>
    <w:p>
      <w:pPr>
        <w:spacing w:after="320" w:before="0"/>
      </w:pPr>
      <w:r>
        <w:rPr>
          <w:rFonts w:ascii="Calibri" w:hAnsi="Calibri"/>
          <w:b w:val="0"/>
          <w:i w:val="0"/>
          <w:color w:val="1F2037"/>
          <w:sz w:val="22"/>
        </w:rPr>
        <w:t>This brief provides a quarterly snapshot of the NYC creative professional community as observed through Industry Night events. All data is derived from verified, in-person attendance and networking activity. No individually identifiable data is included.</w:t>
      </w:r>
    </w:p>
    <w:tbl>
      <w:tblPr>
        <w:tblW w:type="auto" w:w="0"/>
        <w:jc w:val="center"/>
        <w:tblLook w:firstColumn="1" w:firstRow="1" w:lastColumn="0" w:lastRow="0" w:noHBand="0" w:noVBand="1" w:val="04A0"/>
      </w:tblPr>
      <w:tblGrid>
        <w:gridCol w:w="9360"/>
      </w:tblGrid>
      <w:tr>
        <w:tc>
          <w:tcPr>
            <w:tcW w:type="dxa" w:w="9360"/>
            <w:shd w:fill="F5F3FF" w:val="clear"/>
            <w:tcBorders>
              <w:top w:val="single" w:sz="8" w:color="7C3AED"/>
              <w:bottom w:val="single" w:sz="8" w:color="7C3AED"/>
              <w:left w:val="single" w:sz="8" w:color="7C3AED"/>
              <w:right w:val="single" w:sz="8" w:color="7C3AED"/>
            </w:tcBorders>
            <w:tcMar>
              <w:top w:w="120" w:type="dxa"/>
              <w:bottom w:w="120" w:type="dxa"/>
              <w:left w:w="160" w:type="dxa"/>
              <w:right w:w="160" w:type="dxa"/>
            </w:tcMar>
          </w:tcPr>
          <w:p>
            <w:r/>
            <w:r>
              <w:rPr>
                <w:rFonts w:ascii="Calibri" w:hAnsi="Calibri"/>
                <w:b/>
                <w:color w:val="7C3AED"/>
                <w:sz w:val="16"/>
              </w:rPr>
              <w:t>Q1 2026 HEADLINE</w:t>
              <w:br/>
            </w:r>
            <w:r>
              <w:rPr>
                <w:rFonts w:ascii="Calibri" w:hAnsi="Calibri"/>
                <w:color w:val="1F2037"/>
                <w:sz w:val="20"/>
              </w:rPr>
              <w:t>The NYC creative professional community grew 22% in Q1 2026, driven primarily by hair stylists and nail technicians. Cross-specialty networking is accelerating — 67% of all connections now span different disciplines, up from 54% in Q4 2025. The Hair ↔ MUA affinity remains the strongest pairing at 3.1x baseline, but Photographer ↔ Model connections grew fastest quarter-over-quarter (+41%).</w:t>
            </w:r>
          </w:p>
        </w:tc>
      </w:tr>
    </w:tbl>
    <w:p/>
    <w:p>
      <w:pPr>
        <w:spacing w:before="560" w:after="240"/>
        <w:pBdr>
          <w:bottom w:val="single" w:sz="8" w:color="7C3AED" w:space="4"/>
        </w:pBdr>
      </w:pPr>
      <w:r>
        <w:rPr>
          <w:rFonts w:ascii="Calibri" w:hAnsi="Calibri"/>
          <w:b/>
          <w:color w:val="7C3AED"/>
          <w:sz w:val="36"/>
        </w:rPr>
        <w:t>Community Growth</w:t>
      </w:r>
    </w:p>
    <w:tbl>
      <w:tblPr>
        <w:tblW w:type="auto" w:w="0"/>
        <w:jc w:val="center"/>
        <w:tblLook w:firstColumn="1" w:firstRow="1" w:lastColumn="0" w:lastRow="0" w:noHBand="0" w:noVBand="1" w:val="04A0"/>
      </w:tblPr>
      <w:tblGrid>
        <w:gridCol w:w="2340"/>
        <w:gridCol w:w="2340"/>
        <w:gridCol w:w="2340"/>
        <w:gridCol w:w="2340"/>
      </w:tblGrid>
      <w:tr>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847</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+22%</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612</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72%</w:t>
            </w:r>
          </w:p>
        </w:tc>
      </w:tr>
      <w:tr>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Total Members</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QoQ Growth</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Verified Members</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Verification Rate</w:t>
            </w:r>
          </w:p>
        </w:tc>
      </w:tr>
    </w:tbl>
    <w:p>
      <w:pPr>
        <w:spacing w:after="160" w:before="0"/>
      </w:pPr>
      <w:r>
        <w:rPr>
          <w:rFonts w:ascii="Calibri" w:hAnsi="Calibri"/>
          <w:b w:val="0"/>
          <w:i w:val="0"/>
          <w:color w:val="1F2037"/>
          <w:sz w:val="22"/>
        </w:rPr>
      </w:r>
    </w:p>
    <w:p>
      <w:pPr>
        <w:spacing w:after="320" w:before="0"/>
      </w:pPr>
      <w:r>
        <w:rPr>
          <w:rFonts w:ascii="Calibri" w:hAnsi="Calibri"/>
          <w:b w:val="0"/>
          <w:i w:val="0"/>
          <w:color w:val="1F2037"/>
          <w:sz w:val="22"/>
        </w:rPr>
        <w:t>The community added 153 new members in Q1 across 8 events. 72% of all members have achieved verified status (attended an event and made at least one in-person connection), up from 65% at end of Q4. This high verification rate indicates the community is composed of active professionals, not passive sign-ups.</w:t>
      </w:r>
    </w:p>
    <w:p>
      <w:pPr>
        <w:spacing w:before="360" w:after="240"/>
      </w:pPr>
      <w:r>
        <w:rPr>
          <w:rFonts w:ascii="Calibri" w:hAnsi="Calibri"/>
          <w:b/>
          <w:color w:val="7C3AED"/>
          <w:sz w:val="28"/>
        </w:rPr>
        <w:t>Growth by Specialty</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Specialty</w:t>
            </w:r>
          </w:p>
        </w:tc>
        <w:tc>
          <w:tcPr>
            <w:tcW w:type="dxa" w:w="1296"/>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Members</w:t>
            </w:r>
          </w:p>
        </w:tc>
        <w:tc>
          <w:tcPr>
            <w:tcW w:type="dxa" w:w="1296"/>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 of Total</w:t>
            </w:r>
          </w:p>
        </w:tc>
        <w:tc>
          <w:tcPr>
            <w:tcW w:type="dxa" w:w="144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QoQ Change</w:t>
            </w:r>
          </w:p>
        </w:tc>
        <w:tc>
          <w:tcPr>
            <w:tcW w:type="dxa" w:w="2304"/>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Trend</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Hair Stylist</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298</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35.2%</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+18%</w:t>
            </w:r>
          </w:p>
        </w:tc>
        <w:tc>
          <w:tcPr>
            <w:tcW w:type="dxa" w:w="230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Steady growth</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Makeup Artist</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187</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22.1%</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+14%</w:t>
            </w:r>
          </w:p>
        </w:tc>
        <w:tc>
          <w:tcPr>
            <w:tcW w:type="dxa" w:w="230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Stable, mature segment</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Photographer</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119</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14.0%</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+12%</w:t>
            </w:r>
          </w:p>
        </w:tc>
        <w:tc>
          <w:tcPr>
            <w:tcW w:type="dxa" w:w="230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Consistent</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Nail Technician</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78</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9.2%</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+47%</w:t>
            </w:r>
          </w:p>
        </w:tc>
        <w:tc>
          <w:tcPr>
            <w:tcW w:type="dxa" w:w="230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Fastest-growing segment</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Videographer</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64</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7.6%</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+21%</w:t>
            </w:r>
          </w:p>
        </w:tc>
        <w:tc>
          <w:tcPr>
            <w:tcW w:type="dxa" w:w="230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Accelerating</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Model</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53</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6.3%</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+8%</w:t>
            </w:r>
          </w:p>
        </w:tc>
        <w:tc>
          <w:tcPr>
            <w:tcW w:type="dxa" w:w="230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Steady</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Lash Technician</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28</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3.3%</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+87%</w:t>
            </w:r>
          </w:p>
        </w:tc>
        <w:tc>
          <w:tcPr>
            <w:tcW w:type="dxa" w:w="230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Emerging (small base)</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Other</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20</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2.4%</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059669"/>
                <w:sz w:val="20"/>
              </w:rPr>
              <w:t>+11%</w:t>
            </w:r>
          </w:p>
        </w:tc>
        <w:tc>
          <w:tcPr>
            <w:tcW w:type="dxa" w:w="230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Mixed specialties</w:t>
            </w:r>
          </w:p>
        </w:tc>
      </w:tr>
    </w:tbl>
    <w:p>
      <w:pPr>
        <w:spacing w:after="160" w:before="0"/>
      </w:pPr>
      <w:r>
        <w:rPr>
          <w:rFonts w:ascii="Calibri" w:hAnsi="Calibri"/>
          <w:b w:val="0"/>
          <w:i w:val="0"/>
          <w:color w:val="1F2037"/>
          <w:sz w:val="22"/>
        </w:rPr>
      </w:r>
    </w:p>
    <w:tbl>
      <w:tblPr>
        <w:tblW w:type="auto" w:w="0"/>
        <w:jc w:val="center"/>
        <w:tblLook w:firstColumn="1" w:firstRow="1" w:lastColumn="0" w:lastRow="0" w:noHBand="0" w:noVBand="1" w:val="04A0"/>
      </w:tblPr>
      <w:tblGrid>
        <w:gridCol w:w="9360"/>
      </w:tblGrid>
      <w:tr>
        <w:tc>
          <w:tcPr>
            <w:tcW w:type="dxa" w:w="9360"/>
            <w:shd w:fill="F5F3FF" w:val="clear"/>
            <w:tcBorders>
              <w:top w:val="single" w:sz="8" w:color="7C3AED"/>
              <w:bottom w:val="single" w:sz="8" w:color="7C3AED"/>
              <w:left w:val="single" w:sz="8" w:color="7C3AED"/>
              <w:right w:val="single" w:sz="8" w:color="7C3AED"/>
            </w:tcBorders>
            <w:tcMar>
              <w:top w:w="120" w:type="dxa"/>
              <w:bottom w:w="120" w:type="dxa"/>
              <w:left w:w="160" w:type="dxa"/>
              <w:right w:w="160" w:type="dxa"/>
            </w:tcMar>
          </w:tcPr>
          <w:p>
            <w:r/>
            <w:r>
              <w:rPr>
                <w:rFonts w:ascii="Calibri" w:hAnsi="Calibri"/>
                <w:b/>
                <w:color w:val="7C3AED"/>
                <w:sz w:val="16"/>
              </w:rPr>
              <w:t>GROWTH SIGNAL</w:t>
              <w:br/>
            </w:r>
            <w:r>
              <w:rPr>
                <w:rFonts w:ascii="Calibri" w:hAnsi="Calibri"/>
                <w:color w:val="1F2037"/>
                <w:sz w:val="20"/>
              </w:rPr>
              <w:t>Nail technicians are the fastest-growing segment at +47% QoQ (53 → 78 members). Lash technicians are emerging rapidly from a small base (+87%, 15 → 28). Together, these beauty-adjacent specialties now represent 12.5% of the community, up from 8.1% in Q4. Brands targeting these segments have an early-mover advantage in this channel.</w:t>
            </w:r>
          </w:p>
        </w:tc>
      </w:tr>
    </w:tbl>
    <w:p>
      <w:pPr>
        <w:spacing w:before="560" w:after="240"/>
        <w:pBdr>
          <w:bottom w:val="single" w:sz="8" w:color="7C3AED" w:space="4"/>
        </w:pBdr>
      </w:pPr>
      <w:r>
        <w:rPr>
          <w:rFonts w:ascii="Calibri" w:hAnsi="Calibri"/>
          <w:b/>
          <w:color w:val="7C3AED"/>
          <w:sz w:val="36"/>
        </w:rPr>
        <w:t>Networking Patterns</w:t>
      </w:r>
    </w:p>
    <w:tbl>
      <w:tblPr>
        <w:tblW w:type="auto" w:w="0"/>
        <w:jc w:val="center"/>
        <w:tblLook w:firstColumn="1" w:firstRow="1" w:lastColumn="0" w:lastRow="0" w:noHBand="0" w:noVBand="1" w:val="04A0"/>
      </w:tblPr>
      <w:tblGrid>
        <w:gridCol w:w="2340"/>
        <w:gridCol w:w="2340"/>
        <w:gridCol w:w="2340"/>
        <w:gridCol w:w="2340"/>
      </w:tblGrid>
      <w:tr>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2,847</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4.2</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67%</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b/>
                <w:color w:val="7C3AED"/>
                <w:sz w:val="52"/>
              </w:rPr>
              <w:t>+24%</w:t>
            </w:r>
          </w:p>
        </w:tc>
      </w:tr>
      <w:tr>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Total Connections (Q1)</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Avg per Attendee</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Cross-Specialty Rate</w:t>
            </w:r>
          </w:p>
        </w:tc>
        <w:tc>
          <w:tcPr>
            <w:tcW w:type="dxa" w:w="2340"/>
            <w:shd w:fill="F5F3FF" w:val="clear"/>
            <w:tcBorders>
              <w:top w:val="single" w:sz="6" w:color="DDD6FE"/>
              <w:bottom w:val="single" w:sz="6" w:color="DDD6FE"/>
              <w:left w:val="single" w:sz="6" w:color="DDD6FE"/>
              <w:right w:val="single" w:sz="6" w:color="DDD6FE"/>
            </w:tcBorders>
          </w:tcPr>
          <w:p>
            <w:pPr>
              <w:jc w:val="center"/>
            </w:pPr>
            <w:r/>
            <w:r>
              <w:rPr>
                <w:rFonts w:ascii="Calibri" w:hAnsi="Calibri"/>
                <w:color w:val="6B7280"/>
                <w:sz w:val="18"/>
              </w:rPr>
              <w:t>QoQ Connection Growth</w:t>
            </w:r>
          </w:p>
        </w:tc>
      </w:tr>
    </w:tbl>
    <w:p>
      <w:pPr>
        <w:spacing w:after="240" w:before="0"/>
      </w:pPr>
      <w:r>
        <w:rPr>
          <w:rFonts w:ascii="Calibri" w:hAnsi="Calibri"/>
          <w:b w:val="0"/>
          <w:i w:val="0"/>
          <w:color w:val="1F2037"/>
          <w:sz w:val="22"/>
        </w:rPr>
      </w:r>
    </w:p>
    <w:p>
      <w:pPr>
        <w:spacing w:after="320" w:before="0"/>
      </w:pPr>
      <w:r>
        <w:rPr>
          <w:rFonts w:ascii="Calibri" w:hAnsi="Calibri"/>
          <w:b w:val="0"/>
          <w:i w:val="0"/>
          <w:color w:val="1F2037"/>
          <w:sz w:val="22"/>
        </w:rPr>
        <w:t>Networking intensity increased in Q1. The average attendee made 4.2 connections per event, up from 3.6 in Q4. More significantly, 67% of connections crossed specialty boundaries, indicating that Industry Night events are functioning as cross-discipline networking hubs rather than specialty silos.</w:t>
      </w:r>
    </w:p>
    <w:p>
      <w:pPr>
        <w:spacing w:before="560" w:after="240"/>
        <w:pBdr>
          <w:bottom w:val="single" w:sz="8" w:color="7C3AED" w:space="4"/>
        </w:pBdr>
      </w:pPr>
      <w:r>
        <w:rPr>
          <w:rFonts w:ascii="Calibri" w:hAnsi="Calibri"/>
          <w:b/>
          <w:color w:val="7C3AED"/>
          <w:sz w:val="36"/>
        </w:rPr>
        <w:t>Cohort Affinity Analysis</w:t>
      </w:r>
    </w:p>
    <w:p>
      <w:pPr>
        <w:spacing w:after="320" w:before="0"/>
      </w:pPr>
      <w:r>
        <w:rPr>
          <w:rFonts w:ascii="Calibri" w:hAnsi="Calibri"/>
          <w:b w:val="0"/>
          <w:i w:val="0"/>
          <w:color w:val="1F2037"/>
          <w:sz w:val="22"/>
        </w:rPr>
        <w:t>The affinity matrix below shows how likely professionals from each specialty are to connect with professionals from another specialty, relative to a random baseline. A score of 3.1x means that pairing occurs 3.1 times more often than would be expected by chance given the relative population sizes.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F5F3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6B7280"/>
                <w:sz w:val="18"/>
              </w:rPr>
            </w:r>
          </w:p>
        </w:tc>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Hair</w:t>
            </w:r>
          </w:p>
        </w:tc>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MUA</w:t>
            </w:r>
          </w:p>
        </w:tc>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Photo</w:t>
            </w:r>
          </w:p>
        </w:tc>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Video</w:t>
            </w:r>
          </w:p>
        </w:tc>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Nails</w:t>
            </w:r>
          </w:p>
        </w:tc>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Model</w:t>
            </w:r>
          </w:p>
        </w:tc>
      </w:tr>
      <w:tr>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Hair</w:t>
            </w:r>
          </w:p>
        </w:tc>
        <w:tc>
          <w:tcPr>
            <w:tcW w:type="dxa" w:w="1337"/>
            <w:shd w:fill="F0F0F0"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w:t>
            </w:r>
          </w:p>
        </w:tc>
        <w:tc>
          <w:tcPr>
            <w:tcW w:type="dxa" w:w="1337"/>
            <w:shd w:fill="E8DEF8"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3.1x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1.8x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0.9x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1.4x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0.7x</w:t>
            </w:r>
          </w:p>
        </w:tc>
      </w:tr>
      <w:tr>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MUA</w:t>
            </w:r>
          </w:p>
        </w:tc>
        <w:tc>
          <w:tcPr>
            <w:tcW w:type="dxa" w:w="1337"/>
            <w:shd w:fill="E8DEF8"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3.1x</w:t>
            </w:r>
          </w:p>
        </w:tc>
        <w:tc>
          <w:tcPr>
            <w:tcW w:type="dxa" w:w="1337"/>
            <w:shd w:fill="F0F0F0"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1.2x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1.1x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1.6x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1.4x</w:t>
            </w:r>
          </w:p>
        </w:tc>
      </w:tr>
      <w:tr>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Photo</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1.8x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1.2x</w:t>
            </w:r>
          </w:p>
        </w:tc>
        <w:tc>
          <w:tcPr>
            <w:tcW w:type="dxa" w:w="1337"/>
            <w:shd w:fill="F0F0F0"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1.6x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0.4x</w:t>
            </w:r>
          </w:p>
        </w:tc>
        <w:tc>
          <w:tcPr>
            <w:tcW w:type="dxa" w:w="1337"/>
            <w:shd w:fill="E8DEF8"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2.4x</w:t>
            </w:r>
          </w:p>
        </w:tc>
      </w:tr>
      <w:tr>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Video</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0.9x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1.1x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1.6x</w:t>
            </w:r>
          </w:p>
        </w:tc>
        <w:tc>
          <w:tcPr>
            <w:tcW w:type="dxa" w:w="1337"/>
            <w:shd w:fill="F0F0F0"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0.3x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1.3x</w:t>
            </w:r>
          </w:p>
        </w:tc>
      </w:tr>
      <w:tr>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Nails</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1.4x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1.6x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0.4x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0.3x</w:t>
            </w:r>
          </w:p>
        </w:tc>
        <w:tc>
          <w:tcPr>
            <w:tcW w:type="dxa" w:w="1337"/>
            <w:shd w:fill="F0F0F0"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0.5x</w:t>
            </w:r>
          </w:p>
        </w:tc>
      </w:tr>
      <w:tr>
        <w:tc>
          <w:tcPr>
            <w:tcW w:type="dxa" w:w="1337"/>
            <w:shd w:fill="7C3AED"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color w:val="FFFFFF"/>
                <w:sz w:val="18"/>
              </w:rPr>
              <w:t>Model</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0.7x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1.4x</w:t>
            </w:r>
          </w:p>
        </w:tc>
        <w:tc>
          <w:tcPr>
            <w:tcW w:type="dxa" w:w="1337"/>
            <w:shd w:fill="E8DEF8"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2.4x</w:t>
            </w:r>
          </w:p>
        </w:tc>
        <w:tc>
          <w:tcPr>
            <w:tcW w:type="dxa" w:w="1337"/>
            <w:shd w:fill="F3ED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1.3x</w:t>
            </w:r>
          </w:p>
        </w:tc>
        <w:tc>
          <w:tcPr>
            <w:tcW w:type="dxa" w:w="1337"/>
            <w:shd w:fill="FFFFFF"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0.5x</w:t>
            </w:r>
          </w:p>
        </w:tc>
        <w:tc>
          <w:tcPr>
            <w:tcW w:type="dxa" w:w="1337"/>
            <w:shd w:fill="F0F0F0" w:val="clear"/>
            <w:tcBorders>
              <w:top w:val="single" w:sz="4" w:color="DDD6FE"/>
              <w:bottom w:val="single" w:sz="4" w:color="DDD6FE"/>
              <w:left w:val="single" w:sz="4" w:color="DDD6FE"/>
              <w:right w:val="single" w:sz="4" w:color="DDD6FE"/>
            </w:tcBorders>
            <w:tcMar>
              <w:top w:w="40" w:type="dxa"/>
              <w:bottom w:w="40" w:type="dxa"/>
              <w:left w:w="60" w:type="dxa"/>
              <w:right w:w="60" w:type="dxa"/>
            </w:tcMar>
          </w:tcPr>
          <w:p>
            <w:pPr>
              <w:jc w:val="center"/>
            </w:pPr>
            <w:r/>
            <w:r>
              <w:rPr>
                <w:rFonts w:ascii="Calibri" w:hAnsi="Calibri"/>
                <w:b w:val="0"/>
                <w:color w:val="1F2037"/>
                <w:sz w:val="18"/>
              </w:rPr>
              <w:t>—</w:t>
            </w:r>
          </w:p>
        </w:tc>
      </w:tr>
    </w:tbl>
    <w:p>
      <w:pPr>
        <w:spacing w:before="80" w:after="160"/>
        <w:jc w:val="center"/>
      </w:pPr>
      <w:r>
        <w:rPr>
          <w:rFonts w:ascii="Calibri" w:hAnsi="Calibri"/>
          <w:color w:val="6B7280"/>
          <w:sz w:val="16"/>
        </w:rPr>
        <w:t xml:space="preserve">Affinity scale: </w:t>
      </w:r>
      <w:r>
        <w:rPr>
          <w:rFonts w:ascii="Calibri" w:hAnsi="Calibri"/>
          <w:color w:val="A78BFA"/>
          <w:sz w:val="16"/>
        </w:rPr>
        <w:t xml:space="preserve">█ Strong (2.0x+)  </w:t>
      </w:r>
      <w:r>
        <w:rPr>
          <w:rFonts w:ascii="Calibri" w:hAnsi="Calibri"/>
          <w:color w:val="C4B5FD"/>
          <w:sz w:val="16"/>
        </w:rPr>
        <w:t xml:space="preserve">█ Moderate (1.3x+)  </w:t>
      </w:r>
      <w:r>
        <w:rPr>
          <w:rFonts w:ascii="Calibri" w:hAnsi="Calibri"/>
          <w:color w:val="D1D5DB"/>
          <w:sz w:val="16"/>
        </w:rPr>
        <w:t>█ Baseline (&lt;1.3x)</w:t>
      </w:r>
    </w:p>
    <w:p>
      <w:pPr>
        <w:spacing w:after="160" w:before="0"/>
      </w:pPr>
      <w:r>
        <w:rPr>
          <w:rFonts w:ascii="Calibri" w:hAnsi="Calibri"/>
          <w:b w:val="0"/>
          <w:i w:val="0"/>
          <w:color w:val="1F2037"/>
          <w:sz w:val="22"/>
        </w:rPr>
      </w:r>
    </w:p>
    <w:p>
      <w:pPr>
        <w:spacing w:after="320" w:before="0"/>
      </w:pPr>
      <w:r>
        <w:rPr>
          <w:rFonts w:ascii="Calibri" w:hAnsi="Calibri"/>
          <w:b w:val="0"/>
          <w:i w:val="0"/>
          <w:color w:val="1F2037"/>
          <w:sz w:val="22"/>
        </w:rPr>
        <w:t>The Hair ↔ MUA affinity (3.1x) is the defining relationship in this community. These professionals frequently collaborate on the same clients and actively seek each other out at events. The Photo ↔ Model pairing (2.4x) represents a similar collaboration dynamic. Nail technicians show strong affinity with MUAs (1.6x) and Hair (1.4x) but low affinity with photographers (0.4x), suggesting they network within beauty services rather than content creation circles.</w:t>
      </w:r>
    </w:p>
    <w:tbl>
      <w:tblPr>
        <w:tblW w:type="auto" w:w="0"/>
        <w:jc w:val="center"/>
        <w:tblLook w:firstColumn="1" w:firstRow="1" w:lastColumn="0" w:lastRow="0" w:noHBand="0" w:noVBand="1" w:val="04A0"/>
      </w:tblPr>
      <w:tblGrid>
        <w:gridCol w:w="9360"/>
      </w:tblGrid>
      <w:tr>
        <w:tc>
          <w:tcPr>
            <w:tcW w:type="dxa" w:w="9360"/>
            <w:shd w:fill="F5F3FF" w:val="clear"/>
            <w:tcBorders>
              <w:top w:val="single" w:sz="8" w:color="7C3AED"/>
              <w:bottom w:val="single" w:sz="8" w:color="7C3AED"/>
              <w:left w:val="single" w:sz="8" w:color="7C3AED"/>
              <w:right w:val="single" w:sz="8" w:color="7C3AED"/>
            </w:tcBorders>
            <w:tcMar>
              <w:top w:w="120" w:type="dxa"/>
              <w:bottom w:w="120" w:type="dxa"/>
              <w:left w:w="160" w:type="dxa"/>
              <w:right w:w="160" w:type="dxa"/>
            </w:tcMar>
          </w:tcPr>
          <w:p>
            <w:r/>
            <w:r>
              <w:rPr>
                <w:rFonts w:ascii="Calibri" w:hAnsi="Calibri"/>
                <w:b/>
                <w:color w:val="7C3AED"/>
                <w:sz w:val="16"/>
              </w:rPr>
              <w:t>IMPLICATION FOR YOUR BRAND</w:t>
              <w:br/>
            </w:r>
            <w:r>
              <w:rPr>
                <w:rFonts w:ascii="Calibri" w:hAnsi="Calibri"/>
                <w:color w:val="1F2037"/>
                <w:sz w:val="20"/>
              </w:rPr>
              <w:t>For a hair care brand: the 3.1x Hair ↔ MUA affinity means a product recommendation that reaches hair stylists has a high probability of secondary exposure to makeup artists through their professional network. Marketing to hair stylists effectively reaches MUAs at no additional cost through word-of-mouth within established professional relationships.</w:t>
            </w:r>
          </w:p>
        </w:tc>
      </w:tr>
    </w:tbl>
    <w:p>
      <w:pPr>
        <w:spacing w:before="560" w:after="240"/>
        <w:pBdr>
          <w:bottom w:val="single" w:sz="8" w:color="7C3AED" w:space="4"/>
        </w:pBdr>
      </w:pPr>
      <w:r>
        <w:rPr>
          <w:rFonts w:ascii="Calibri" w:hAnsi="Calibri"/>
          <w:b/>
          <w:color w:val="7C3AED"/>
          <w:sz w:val="36"/>
        </w:rPr>
        <w:t>Community Clusters</w:t>
      </w:r>
    </w:p>
    <w:p>
      <w:pPr>
        <w:spacing w:after="320" w:before="0"/>
      </w:pPr>
      <w:r>
        <w:rPr>
          <w:rFonts w:ascii="Calibri" w:hAnsi="Calibri"/>
          <w:b w:val="0"/>
          <w:i w:val="0"/>
          <w:color w:val="1F2037"/>
          <w:sz w:val="22"/>
        </w:rPr>
        <w:t>Graph analysis on the Q1 connection network identified 6 distinct community clusters. Clusters represent groups of professionals who are more densely connected to each other than to the broader network — essentially informal professional collectives.</w:t>
      </w:r>
    </w:p>
    <w:tbl>
      <w:tblPr>
        <w:tblW w:type="auto" w:w="0"/>
        <w:jc w:val="center"/>
        <w:tblLook w:firstColumn="1" w:firstRow="1" w:lastColumn="0" w:lastRow="0" w:noHBand="0" w:noVBand="1" w:val="04A0"/>
      </w:tblPr>
      <w:tblGrid>
        <w:gridCol w:w="1872"/>
        <w:gridCol w:w="1872"/>
        <w:gridCol w:w="1872"/>
        <w:gridCol w:w="1872"/>
        <w:gridCol w:w="1872"/>
      </w:tblGrid>
      <w:tr>
        <w:tc>
          <w:tcPr>
            <w:tcW w:type="dxa" w:w="864"/>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Cluster</w:t>
            </w:r>
          </w:p>
        </w:tc>
        <w:tc>
          <w:tcPr>
            <w:tcW w:type="dxa" w:w="72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Size</w:t>
            </w:r>
          </w:p>
        </w:tc>
        <w:tc>
          <w:tcPr>
            <w:tcW w:type="dxa" w:w="288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Dominant Specialties</w:t>
            </w:r>
          </w:p>
        </w:tc>
        <w:tc>
          <w:tcPr>
            <w:tcW w:type="dxa" w:w="2016"/>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Avg Internal Connections</w:t>
            </w:r>
          </w:p>
        </w:tc>
        <w:tc>
          <w:tcPr>
            <w:tcW w:type="dxa" w:w="2592"/>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Characteristics</w:t>
            </w:r>
          </w:p>
        </w:tc>
      </w:tr>
      <w:tr>
        <w:tc>
          <w:tcPr>
            <w:tcW w:type="dxa" w:w="86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A</w:t>
            </w:r>
          </w:p>
        </w:tc>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42</w:t>
            </w:r>
          </w:p>
        </w:tc>
        <w:tc>
          <w:tcPr>
            <w:tcW w:type="dxa" w:w="288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Hair (60%), MUA (30%)</w:t>
            </w:r>
          </w:p>
        </w:tc>
        <w:tc>
          <w:tcPr>
            <w:tcW w:type="dxa" w:w="2016"/>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6.8</w:t>
            </w:r>
          </w:p>
        </w:tc>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Bridal/editorial specialists, high repeat attendance</w:t>
            </w:r>
          </w:p>
        </w:tc>
      </w:tr>
      <w:tr>
        <w:tc>
          <w:tcPr>
            <w:tcW w:type="dxa" w:w="86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B</w:t>
            </w:r>
          </w:p>
        </w:tc>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38</w:t>
            </w:r>
          </w:p>
        </w:tc>
        <w:tc>
          <w:tcPr>
            <w:tcW w:type="dxa" w:w="288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Photo (45%), Video (35%)</w:t>
            </w:r>
          </w:p>
        </w:tc>
        <w:tc>
          <w:tcPr>
            <w:tcW w:type="dxa" w:w="201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5.4</w:t>
            </w:r>
          </w:p>
        </w:tc>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Content creators, cross-event networkers</w:t>
            </w:r>
          </w:p>
        </w:tc>
      </w:tr>
      <w:tr>
        <w:tc>
          <w:tcPr>
            <w:tcW w:type="dxa" w:w="86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C</w:t>
            </w:r>
          </w:p>
        </w:tc>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31</w:t>
            </w:r>
          </w:p>
        </w:tc>
        <w:tc>
          <w:tcPr>
            <w:tcW w:type="dxa" w:w="288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Hair (50%), Nails (30%)</w:t>
            </w:r>
          </w:p>
        </w:tc>
        <w:tc>
          <w:tcPr>
            <w:tcW w:type="dxa" w:w="2016"/>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4.9</w:t>
            </w:r>
          </w:p>
        </w:tc>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Salon-based professionals, Brooklyn-concentrated</w:t>
            </w:r>
          </w:p>
        </w:tc>
      </w:tr>
      <w:tr>
        <w:tc>
          <w:tcPr>
            <w:tcW w:type="dxa" w:w="86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D</w:t>
            </w:r>
          </w:p>
        </w:tc>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27</w:t>
            </w:r>
          </w:p>
        </w:tc>
        <w:tc>
          <w:tcPr>
            <w:tcW w:type="dxa" w:w="288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MUA (55%), Model (25%)</w:t>
            </w:r>
          </w:p>
        </w:tc>
        <w:tc>
          <w:tcPr>
            <w:tcW w:type="dxa" w:w="201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5.1</w:t>
            </w:r>
          </w:p>
        </w:tc>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Fashion/editorial focused, Manhattan-based</w:t>
            </w:r>
          </w:p>
        </w:tc>
      </w:tr>
      <w:tr>
        <w:tc>
          <w:tcPr>
            <w:tcW w:type="dxa" w:w="864"/>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E</w:t>
            </w:r>
          </w:p>
        </w:tc>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24</w:t>
            </w:r>
          </w:p>
        </w:tc>
        <w:tc>
          <w:tcPr>
            <w:tcW w:type="dxa" w:w="288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Mixed (no dominant)</w:t>
            </w:r>
          </w:p>
        </w:tc>
        <w:tc>
          <w:tcPr>
            <w:tcW w:type="dxa" w:w="2016"/>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3.8</w:t>
            </w:r>
          </w:p>
        </w:tc>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Generalists, newer members, bridge nodes</w:t>
            </w:r>
          </w:p>
        </w:tc>
      </w:tr>
      <w:tr>
        <w:tc>
          <w:tcPr>
            <w:tcW w:type="dxa" w:w="86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F</w:t>
            </w:r>
          </w:p>
        </w:tc>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19</w:t>
            </w:r>
          </w:p>
        </w:tc>
        <w:tc>
          <w:tcPr>
            <w:tcW w:type="dxa" w:w="288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Nails (45%), Lash (35%)</w:t>
            </w:r>
          </w:p>
        </w:tc>
        <w:tc>
          <w:tcPr>
            <w:tcW w:type="dxa" w:w="201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4.2</w:t>
            </w:r>
          </w:p>
        </w:tc>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Beauty technicians, fastest-growing cluster</w:t>
            </w:r>
          </w:p>
        </w:tc>
      </w:tr>
    </w:tbl>
    <w:p>
      <w:pPr>
        <w:spacing w:after="160" w:before="0"/>
      </w:pPr>
      <w:r>
        <w:rPr>
          <w:rFonts w:ascii="Calibri" w:hAnsi="Calibri"/>
          <w:b w:val="0"/>
          <w:i w:val="0"/>
          <w:color w:val="1F2037"/>
          <w:sz w:val="22"/>
        </w:rPr>
      </w:r>
    </w:p>
    <w:p>
      <w:pPr>
        <w:spacing w:after="320" w:before="0"/>
      </w:pPr>
      <w:r>
        <w:rPr>
          <w:rFonts w:ascii="Calibri" w:hAnsi="Calibri"/>
          <w:b w:val="0"/>
          <w:i w:val="0"/>
          <w:color w:val="1F2037"/>
          <w:sz w:val="22"/>
        </w:rPr>
        <w:t>Cluster E is notable: it contains professionals with no dominant specialty who serve as "bridge nodes" between other clusters. These individuals attend consistently and connect broadly. They are disproportionately influential in spreading information and recommendations across the network. Cluster F (nails + lash) is the youngest and fastest-growing, consistent with the segment growth data above.</w:t>
      </w:r>
    </w:p>
    <w:p>
      <w:pPr>
        <w:spacing w:before="560" w:after="240"/>
        <w:pBdr>
          <w:bottom w:val="single" w:sz="8" w:color="7C3AED" w:space="4"/>
        </w:pBdr>
      </w:pPr>
      <w:r>
        <w:rPr>
          <w:rFonts w:ascii="Calibri" w:hAnsi="Calibri"/>
          <w:b/>
          <w:color w:val="7C3AED"/>
          <w:sz w:val="36"/>
        </w:rPr>
        <w:t>Event Performance Benchmarks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Event</w:t>
            </w:r>
          </w:p>
        </w:tc>
        <w:tc>
          <w:tcPr>
            <w:tcW w:type="dxa" w:w="1008"/>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Date</w:t>
            </w:r>
          </w:p>
        </w:tc>
        <w:tc>
          <w:tcPr>
            <w:tcW w:type="dxa" w:w="1296"/>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Attendance</w:t>
            </w:r>
          </w:p>
        </w:tc>
        <w:tc>
          <w:tcPr>
            <w:tcW w:type="dxa" w:w="144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Connections</w:t>
            </w:r>
          </w:p>
        </w:tc>
        <w:tc>
          <w:tcPr>
            <w:tcW w:type="dxa" w:w="1296"/>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Conn/Person</w:t>
            </w:r>
          </w:p>
        </w:tc>
        <w:tc>
          <w:tcPr>
            <w:tcW w:type="dxa" w:w="144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Cross-Specialty</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NYC — January</w:t>
            </w:r>
          </w:p>
        </w:tc>
        <w:tc>
          <w:tcPr>
            <w:tcW w:type="dxa" w:w="1008"/>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Jan 17</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189</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321</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3.4</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58%</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NYC — January (Late)</w:t>
            </w:r>
          </w:p>
        </w:tc>
        <w:tc>
          <w:tcPr>
            <w:tcW w:type="dxa" w:w="100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Jan 31</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201</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387</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3.8</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62%</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NYC — February</w:t>
            </w:r>
          </w:p>
        </w:tc>
        <w:tc>
          <w:tcPr>
            <w:tcW w:type="dxa" w:w="1008"/>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Feb 14</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234</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512</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4.4</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71%</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NYC — February (Late)</w:t>
            </w:r>
          </w:p>
        </w:tc>
        <w:tc>
          <w:tcPr>
            <w:tcW w:type="dxa" w:w="100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Feb 28</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218</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445</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4.1</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65%</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NYC — March</w:t>
            </w:r>
          </w:p>
        </w:tc>
        <w:tc>
          <w:tcPr>
            <w:tcW w:type="dxa" w:w="1008"/>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Mar 14</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247</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487</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3.9</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67%</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NYC — March (Late)</w:t>
            </w:r>
          </w:p>
        </w:tc>
        <w:tc>
          <w:tcPr>
            <w:tcW w:type="dxa" w:w="100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Mar 28</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261</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534</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4.1</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69%</w:t>
            </w:r>
          </w:p>
        </w:tc>
      </w:tr>
      <w:tr>
        <w:tc>
          <w:tcPr>
            <w:tcW w:type="dxa" w:w="259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BK — Special</w:t>
            </w:r>
          </w:p>
        </w:tc>
        <w:tc>
          <w:tcPr>
            <w:tcW w:type="dxa" w:w="1008"/>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Mar 7</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156</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298</w:t>
            </w:r>
          </w:p>
        </w:tc>
        <w:tc>
          <w:tcPr>
            <w:tcW w:type="dxa" w:w="1296"/>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3.8</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72%</w:t>
            </w:r>
          </w:p>
        </w:tc>
      </w:tr>
      <w:tr>
        <w:tc>
          <w:tcPr>
            <w:tcW w:type="dxa" w:w="259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IN Queens Pop-Up</w:t>
            </w:r>
          </w:p>
        </w:tc>
        <w:tc>
          <w:tcPr>
            <w:tcW w:type="dxa" w:w="100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Mar 21</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112</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187</w:t>
            </w:r>
          </w:p>
        </w:tc>
        <w:tc>
          <w:tcPr>
            <w:tcW w:type="dxa" w:w="1296"/>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3.3</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64%</w:t>
            </w:r>
          </w:p>
        </w:tc>
      </w:tr>
    </w:tbl>
    <w:p>
      <w:pPr>
        <w:spacing w:after="160" w:before="0"/>
      </w:pPr>
      <w:r>
        <w:rPr>
          <w:rFonts w:ascii="Calibri" w:hAnsi="Calibri"/>
          <w:b w:val="0"/>
          <w:i w:val="0"/>
          <w:color w:val="1F2037"/>
          <w:sz w:val="22"/>
        </w:rPr>
      </w:r>
    </w:p>
    <w:p>
      <w:pPr>
        <w:spacing w:after="320" w:before="0"/>
      </w:pPr>
      <w:r>
        <w:rPr>
          <w:rFonts w:ascii="Calibri" w:hAnsi="Calibri"/>
          <w:b w:val="0"/>
          <w:i w:val="0"/>
          <w:color w:val="1F2037"/>
          <w:sz w:val="22"/>
        </w:rPr>
        <w:t>Attendance trended upward through the quarter, with the March 28 event hitting a new high of 261. The February 14 event showed the highest per-person connection rate (4.4), likely driven by the Valentine's Day theme encouraging broader networking. The Brooklyn and Queens pop-ups drew smaller but highly engaged crowds, with cross-specialty rates matching or exceeding the main events.</w:t>
      </w:r>
    </w:p>
    <w:p>
      <w:pPr>
        <w:spacing w:before="560" w:after="240"/>
        <w:pBdr>
          <w:bottom w:val="single" w:sz="8" w:color="7C3AED" w:space="4"/>
        </w:pBdr>
      </w:pPr>
      <w:r>
        <w:rPr>
          <w:rFonts w:ascii="Calibri" w:hAnsi="Calibri"/>
          <w:b/>
          <w:color w:val="7C3AED"/>
          <w:sz w:val="36"/>
        </w:rPr>
        <w:t>Influence Topology</w:t>
      </w:r>
    </w:p>
    <w:p>
      <w:pPr>
        <w:spacing w:after="320" w:before="0"/>
      </w:pPr>
      <w:r>
        <w:rPr>
          <w:rFonts w:ascii="Calibri" w:hAnsi="Calibri"/>
          <w:b w:val="0"/>
          <w:i w:val="0"/>
          <w:color w:val="1F2037"/>
          <w:sz w:val="22"/>
        </w:rPr>
        <w:t>Influence scores are computed from connection count, events attended, and 2nd-degree network reach. The table below shows the top-ranked professionals by specialty. Names are withheld; rankings are anonymized.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Rank</w:t>
            </w:r>
          </w:p>
        </w:tc>
        <w:tc>
          <w:tcPr>
            <w:tcW w:type="dxa" w:w="1872"/>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Specialty</w:t>
            </w:r>
          </w:p>
        </w:tc>
        <w:tc>
          <w:tcPr>
            <w:tcW w:type="dxa" w:w="1440"/>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Connections</w:t>
            </w:r>
          </w:p>
        </w:tc>
        <w:tc>
          <w:tcPr>
            <w:tcW w:type="dxa" w:w="1152"/>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r/>
            <w:r>
              <w:rPr>
                <w:rFonts w:ascii="Calibri" w:hAnsi="Calibri"/>
                <w:b/>
                <w:color w:val="FFFFFF"/>
                <w:sz w:val="18"/>
              </w:rPr>
              <w:t>Events</w:t>
            </w:r>
          </w:p>
        </w:tc>
        <w:tc>
          <w:tcPr>
            <w:tcW w:type="dxa" w:w="1728"/>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2nd-Degree Reach</w:t>
            </w:r>
          </w:p>
        </w:tc>
        <w:tc>
          <w:tcPr>
            <w:tcW w:type="dxa" w:w="1584"/>
            <w:shd w:fill="7C3AED" w:val="clear"/>
            <w:tcBorders>
              <w:top w:val="single" w:sz="4" w:color="7C3AED"/>
              <w:bottom w:val="single" w:sz="4" w:color="7C3AED"/>
              <w:left w:val="single" w:sz="4" w:color="7C3AED"/>
              <w:right w:val="single" w:sz="4" w:color="7C3AED"/>
            </w:tcBorders>
            <w:tcMar>
              <w:top w:w="60" w:type="dxa"/>
              <w:bottom w:w="60" w:type="dxa"/>
              <w:left w:w="120" w:type="dxa"/>
              <w:right w:w="120" w:type="dxa"/>
            </w:tcMar>
          </w:tcPr>
          <w:p>
            <w:pPr>
              <w:jc w:val="right"/>
            </w:pPr>
            <w:r/>
            <w:r>
              <w:rPr>
                <w:rFonts w:ascii="Calibri" w:hAnsi="Calibri"/>
                <w:b/>
                <w:color w:val="FFFFFF"/>
                <w:sz w:val="18"/>
              </w:rPr>
              <w:t>Influence Score</w:t>
            </w:r>
          </w:p>
        </w:tc>
      </w:tr>
      <w:tr>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#1</w:t>
            </w:r>
          </w:p>
        </w:tc>
        <w:tc>
          <w:tcPr>
            <w:tcW w:type="dxa" w:w="187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Hair Stylist</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47</w:t>
            </w:r>
          </w:p>
        </w:tc>
        <w:tc>
          <w:tcPr>
            <w:tcW w:type="dxa" w:w="115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8/8</w:t>
            </w:r>
          </w:p>
        </w:tc>
        <w:tc>
          <w:tcPr>
            <w:tcW w:type="dxa" w:w="1728"/>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312</w:t>
            </w:r>
          </w:p>
        </w:tc>
        <w:tc>
          <w:tcPr>
            <w:tcW w:type="dxa" w:w="1584"/>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94.2</w:t>
            </w:r>
          </w:p>
        </w:tc>
      </w:tr>
      <w:tr>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#2</w:t>
            </w:r>
          </w:p>
        </w:tc>
        <w:tc>
          <w:tcPr>
            <w:tcW w:type="dxa" w:w="187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Photographer</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43</w:t>
            </w:r>
          </w:p>
        </w:tc>
        <w:tc>
          <w:tcPr>
            <w:tcW w:type="dxa" w:w="115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7/8</w:t>
            </w:r>
          </w:p>
        </w:tc>
        <w:tc>
          <w:tcPr>
            <w:tcW w:type="dxa" w:w="172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298</w:t>
            </w:r>
          </w:p>
        </w:tc>
        <w:tc>
          <w:tcPr>
            <w:tcW w:type="dxa" w:w="158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91.7</w:t>
            </w:r>
          </w:p>
        </w:tc>
      </w:tr>
      <w:tr>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#3</w:t>
            </w:r>
          </w:p>
        </w:tc>
        <w:tc>
          <w:tcPr>
            <w:tcW w:type="dxa" w:w="187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MUA</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41</w:t>
            </w:r>
          </w:p>
        </w:tc>
        <w:tc>
          <w:tcPr>
            <w:tcW w:type="dxa" w:w="115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8/8</w:t>
            </w:r>
          </w:p>
        </w:tc>
        <w:tc>
          <w:tcPr>
            <w:tcW w:type="dxa" w:w="1728"/>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287</w:t>
            </w:r>
          </w:p>
        </w:tc>
        <w:tc>
          <w:tcPr>
            <w:tcW w:type="dxa" w:w="1584"/>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89.4</w:t>
            </w:r>
          </w:p>
        </w:tc>
      </w:tr>
      <w:tr>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#4</w:t>
            </w:r>
          </w:p>
        </w:tc>
        <w:tc>
          <w:tcPr>
            <w:tcW w:type="dxa" w:w="187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Hair Stylist</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38</w:t>
            </w:r>
          </w:p>
        </w:tc>
        <w:tc>
          <w:tcPr>
            <w:tcW w:type="dxa" w:w="115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7/8</w:t>
            </w:r>
          </w:p>
        </w:tc>
        <w:tc>
          <w:tcPr>
            <w:tcW w:type="dxa" w:w="172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264</w:t>
            </w:r>
          </w:p>
        </w:tc>
        <w:tc>
          <w:tcPr>
            <w:tcW w:type="dxa" w:w="158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85.1</w:t>
            </w:r>
          </w:p>
        </w:tc>
      </w:tr>
      <w:tr>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#5</w:t>
            </w:r>
          </w:p>
        </w:tc>
        <w:tc>
          <w:tcPr>
            <w:tcW w:type="dxa" w:w="187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MUA</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36</w:t>
            </w:r>
          </w:p>
        </w:tc>
        <w:tc>
          <w:tcPr>
            <w:tcW w:type="dxa" w:w="115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6/8</w:t>
            </w:r>
          </w:p>
        </w:tc>
        <w:tc>
          <w:tcPr>
            <w:tcW w:type="dxa" w:w="1728"/>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251</w:t>
            </w:r>
          </w:p>
        </w:tc>
        <w:tc>
          <w:tcPr>
            <w:tcW w:type="dxa" w:w="1584"/>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82.8</w:t>
            </w:r>
          </w:p>
        </w:tc>
      </w:tr>
      <w:tr>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#6</w:t>
            </w:r>
          </w:p>
        </w:tc>
        <w:tc>
          <w:tcPr>
            <w:tcW w:type="dxa" w:w="187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Videographer</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34</w:t>
            </w:r>
          </w:p>
        </w:tc>
        <w:tc>
          <w:tcPr>
            <w:tcW w:type="dxa" w:w="115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8/8</w:t>
            </w:r>
          </w:p>
        </w:tc>
        <w:tc>
          <w:tcPr>
            <w:tcW w:type="dxa" w:w="172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243</w:t>
            </w:r>
          </w:p>
        </w:tc>
        <w:tc>
          <w:tcPr>
            <w:tcW w:type="dxa" w:w="158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81.3</w:t>
            </w:r>
          </w:p>
        </w:tc>
      </w:tr>
      <w:tr>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#7</w:t>
            </w:r>
          </w:p>
        </w:tc>
        <w:tc>
          <w:tcPr>
            <w:tcW w:type="dxa" w:w="187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Model</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33</w:t>
            </w:r>
          </w:p>
        </w:tc>
        <w:tc>
          <w:tcPr>
            <w:tcW w:type="dxa" w:w="115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7/8</w:t>
            </w:r>
          </w:p>
        </w:tc>
        <w:tc>
          <w:tcPr>
            <w:tcW w:type="dxa" w:w="1728"/>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228</w:t>
            </w:r>
          </w:p>
        </w:tc>
        <w:tc>
          <w:tcPr>
            <w:tcW w:type="dxa" w:w="1584"/>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78.6</w:t>
            </w:r>
          </w:p>
        </w:tc>
      </w:tr>
      <w:tr>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#8</w:t>
            </w:r>
          </w:p>
        </w:tc>
        <w:tc>
          <w:tcPr>
            <w:tcW w:type="dxa" w:w="187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Nail Technician</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29</w:t>
            </w:r>
          </w:p>
        </w:tc>
        <w:tc>
          <w:tcPr>
            <w:tcW w:type="dxa" w:w="115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8/8</w:t>
            </w:r>
          </w:p>
        </w:tc>
        <w:tc>
          <w:tcPr>
            <w:tcW w:type="dxa" w:w="172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198</w:t>
            </w:r>
          </w:p>
        </w:tc>
        <w:tc>
          <w:tcPr>
            <w:tcW w:type="dxa" w:w="158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74.2</w:t>
            </w:r>
          </w:p>
        </w:tc>
      </w:tr>
      <w:tr>
        <w:tc>
          <w:tcPr>
            <w:tcW w:type="dxa" w:w="720"/>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#9</w:t>
            </w:r>
          </w:p>
        </w:tc>
        <w:tc>
          <w:tcPr>
            <w:tcW w:type="dxa" w:w="187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Hair Stylist</w:t>
            </w:r>
          </w:p>
        </w:tc>
        <w:tc>
          <w:tcPr>
            <w:tcW w:type="dxa" w:w="1440"/>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28</w:t>
            </w:r>
          </w:p>
        </w:tc>
        <w:tc>
          <w:tcPr>
            <w:tcW w:type="dxa" w:w="1152"/>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6/8</w:t>
            </w:r>
          </w:p>
        </w:tc>
        <w:tc>
          <w:tcPr>
            <w:tcW w:type="dxa" w:w="1728"/>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192</w:t>
            </w:r>
          </w:p>
        </w:tc>
        <w:tc>
          <w:tcPr>
            <w:tcW w:type="dxa" w:w="1584"/>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71.9</w:t>
            </w:r>
          </w:p>
        </w:tc>
      </w:tr>
      <w:tr>
        <w:tc>
          <w:tcPr>
            <w:tcW w:type="dxa" w:w="72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#10</w:t>
            </w:r>
          </w:p>
        </w:tc>
        <w:tc>
          <w:tcPr>
            <w:tcW w:type="dxa" w:w="187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Photographer</w:t>
            </w:r>
          </w:p>
        </w:tc>
        <w:tc>
          <w:tcPr>
            <w:tcW w:type="dxa" w:w="1440"/>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27</w:t>
            </w:r>
          </w:p>
        </w:tc>
        <w:tc>
          <w:tcPr>
            <w:tcW w:type="dxa" w:w="1152"/>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r/>
            <w:r>
              <w:rPr>
                <w:rFonts w:ascii="Calibri" w:hAnsi="Calibri"/>
                <w:color w:val="1F2037"/>
                <w:sz w:val="20"/>
              </w:rPr>
              <w:t>7/8</w:t>
            </w:r>
          </w:p>
        </w:tc>
        <w:tc>
          <w:tcPr>
            <w:tcW w:type="dxa" w:w="1728"/>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184</w:t>
            </w:r>
          </w:p>
        </w:tc>
        <w:tc>
          <w:tcPr>
            <w:tcW w:type="dxa" w:w="1584"/>
            <w:shd w:fill="F5F3FF" w:val="clear"/>
            <w:tcBorders>
              <w:top w:val="single" w:sz="4" w:color="E5E7EB"/>
              <w:bottom w:val="single" w:sz="4" w:color="E5E7EB"/>
              <w:left w:val="single" w:sz="4" w:color="E5E7EB"/>
              <w:right w:val="single" w:sz="4" w:color="E5E7EB"/>
            </w:tcBorders>
            <w:tcMar>
              <w:top w:w="50" w:type="dxa"/>
              <w:bottom w:w="50" w:type="dxa"/>
              <w:left w:w="120" w:type="dxa"/>
              <w:right w:w="120" w:type="dxa"/>
            </w:tcMar>
          </w:tcPr>
          <w:p>
            <w:pPr>
              <w:jc w:val="right"/>
            </w:pPr>
            <w:r/>
            <w:r>
              <w:rPr>
                <w:rFonts w:ascii="Calibri" w:hAnsi="Calibri"/>
                <w:color w:val="1F2037"/>
                <w:sz w:val="20"/>
              </w:rPr>
              <w:t>70.5</w:t>
            </w:r>
          </w:p>
        </w:tc>
      </w:tr>
    </w:tbl>
    <w:p>
      <w:pPr>
        <w:spacing w:after="160" w:before="0"/>
      </w:pPr>
      <w:r>
        <w:rPr>
          <w:rFonts w:ascii="Calibri" w:hAnsi="Calibri"/>
          <w:b w:val="0"/>
          <w:i w:val="0"/>
          <w:color w:val="1F2037"/>
          <w:sz w:val="22"/>
        </w:rPr>
      </w:r>
    </w:p>
    <w:p>
      <w:pPr>
        <w:spacing w:after="320" w:before="0"/>
      </w:pPr>
      <w:r>
        <w:rPr>
          <w:rFonts w:ascii="Calibri" w:hAnsi="Calibri"/>
          <w:b w:val="0"/>
          <w:i w:val="0"/>
          <w:color w:val="1F2037"/>
          <w:sz w:val="22"/>
        </w:rPr>
        <w:t>The top influencer (a hair stylist) has a 2nd-degree reach of 312 — meaning 312 unique professionals are within two connections of this person. A product recommendation from this individual has the potential to reach 37% of the entire verified community through trusted professional relationships.</w:t>
      </w:r>
    </w:p>
    <w:p>
      <w:pPr>
        <w:spacing w:before="560" w:after="240"/>
        <w:pBdr>
          <w:bottom w:val="single" w:sz="8" w:color="7C3AED" w:space="4"/>
        </w:pBdr>
      </w:pPr>
      <w:r>
        <w:rPr>
          <w:rFonts w:ascii="Calibri" w:hAnsi="Calibri"/>
          <w:b/>
          <w:color w:val="7C3AED"/>
          <w:sz w:val="36"/>
        </w:rPr>
        <w:t>Emerging Signals</w:t>
      </w:r>
    </w:p>
    <w:p>
      <w:pPr>
        <w:spacing w:after="320" w:before="0"/>
      </w:pPr>
      <w:r>
        <w:rPr>
          <w:rFonts w:ascii="Calibri" w:hAnsi="Calibri"/>
          <w:b w:val="0"/>
          <w:i/>
          <w:color w:val="6B7280"/>
          <w:sz w:val="22"/>
        </w:rPr>
        <w:t>This section highlights early patterns that have not yet become established trends. These observations are directional, not conclusive, and are included to provide forward-looking context for strategic planning.</w:t>
      </w:r>
    </w:p>
    <w:p>
      <w:pPr>
        <w:spacing w:after="80" w:before="240"/>
      </w:pPr>
      <w:r>
        <w:rPr>
          <w:rFonts w:ascii="Calibri" w:hAnsi="Calibri"/>
          <w:b/>
          <w:i w:val="0"/>
          <w:color w:val="1F2037"/>
          <w:sz w:val="24"/>
        </w:rPr>
        <w:t>Beauty technician convergence</w:t>
      </w:r>
    </w:p>
    <w:p>
      <w:pPr>
        <w:spacing w:after="240" w:before="0"/>
      </w:pPr>
      <w:r>
        <w:rPr>
          <w:rFonts w:ascii="Calibri" w:hAnsi="Calibri"/>
          <w:b w:val="0"/>
          <w:i w:val="0"/>
          <w:color w:val="1F2037"/>
          <w:sz w:val="22"/>
        </w:rPr>
        <w:t>Nail and lash technicians are beginning to cluster together and cross-connect with hair stylists at increasing rates. This suggests an emerging "full-service beauty" networking cohort that didn't exist six months ago. Brands positioned across beauty services (not just hair) may find this cohort especially receptive.</w:t>
      </w:r>
    </w:p>
    <w:p>
      <w:pPr>
        <w:spacing w:after="80" w:before="240"/>
      </w:pPr>
      <w:r>
        <w:rPr>
          <w:rFonts w:ascii="Calibri" w:hAnsi="Calibri"/>
          <w:b/>
          <w:i w:val="0"/>
          <w:color w:val="1F2037"/>
          <w:sz w:val="24"/>
        </w:rPr>
        <w:t>Content creator bridge effect</w:t>
      </w:r>
    </w:p>
    <w:p>
      <w:pPr>
        <w:spacing w:after="240" w:before="0"/>
      </w:pPr>
      <w:r>
        <w:rPr>
          <w:rFonts w:ascii="Calibri" w:hAnsi="Calibri"/>
          <w:b w:val="0"/>
          <w:i w:val="0"/>
          <w:color w:val="1F2037"/>
          <w:sz w:val="22"/>
        </w:rPr>
        <w:t>Photographers and videographers are increasingly acting as bridge nodes between otherwise siloed specialty groups. Their cross-specialty connection rate (72%) is the highest of any segment. This makes them disproportionately influential in spreading product awareness across the community, despite being only 14% of the population.</w:t>
      </w:r>
    </w:p>
    <w:p>
      <w:pPr>
        <w:spacing w:after="80" w:before="240"/>
      </w:pPr>
      <w:r>
        <w:rPr>
          <w:rFonts w:ascii="Calibri" w:hAnsi="Calibri"/>
          <w:b/>
          <w:i w:val="0"/>
          <w:color w:val="1F2037"/>
          <w:sz w:val="24"/>
        </w:rPr>
        <w:t>Repeat attendance acceleration</w:t>
      </w:r>
    </w:p>
    <w:p>
      <w:pPr>
        <w:spacing w:after="240" w:before="0"/>
      </w:pPr>
      <w:r>
        <w:rPr>
          <w:rFonts w:ascii="Calibri" w:hAnsi="Calibri"/>
          <w:b w:val="0"/>
          <w:i w:val="0"/>
          <w:color w:val="1F2037"/>
          <w:sz w:val="22"/>
        </w:rPr>
        <w:t>Return rate increased from 28% in Q4 to 35.5% in Q1. More notably, repeat attendees are making 40% more connections per event than first-timers (5.1 vs. 3.6). The community is developing a "power user" cohort whose networking intensity grows with tenure.</w:t>
      </w:r>
    </w:p>
    <w:p>
      <w:pPr>
        <w:spacing w:after="80" w:before="240"/>
      </w:pPr>
      <w:r>
        <w:rPr>
          <w:rFonts w:ascii="Calibri" w:hAnsi="Calibri"/>
          <w:b/>
          <w:i w:val="0"/>
          <w:color w:val="1F2037"/>
          <w:sz w:val="24"/>
        </w:rPr>
        <w:t>Geographic expansion signal</w:t>
      </w:r>
    </w:p>
    <w:p>
      <w:pPr>
        <w:spacing w:after="240" w:before="0"/>
      </w:pPr>
      <w:r>
        <w:rPr>
          <w:rFonts w:ascii="Calibri" w:hAnsi="Calibri"/>
          <w:b w:val="0"/>
          <w:i w:val="0"/>
          <w:color w:val="1F2037"/>
          <w:sz w:val="22"/>
        </w:rPr>
        <w:t>The Brooklyn and Queens pop-up events filled to capacity with 48-hour notice. 61% of attendees at these events had never attended a Manhattan event. There is unserved demand outside Manhattan that could double the addressable community.</w:t>
      </w:r>
    </w:p>
    <w:p>
      <w:pPr>
        <w:spacing w:before="560" w:after="240"/>
        <w:pBdr>
          <w:bottom w:val="single" w:sz="8" w:color="7C3AED" w:space="4"/>
        </w:pBdr>
      </w:pPr>
      <w:r>
        <w:rPr>
          <w:rFonts w:ascii="Calibri" w:hAnsi="Calibri"/>
          <w:b/>
          <w:color w:val="7C3AED"/>
          <w:sz w:val="36"/>
        </w:rPr>
        <w:t>Methodology</w:t>
      </w:r>
    </w:p>
    <w:p>
      <w:pPr>
        <w:spacing w:after="160" w:before="0"/>
      </w:pPr>
      <w:r>
        <w:rPr>
          <w:rFonts w:ascii="Calibri" w:hAnsi="Calibri"/>
          <w:b w:val="0"/>
          <w:i w:val="0"/>
          <w:color w:val="6B7280"/>
          <w:sz w:val="20"/>
        </w:rPr>
        <w:t>All data in this brief is derived from verified, in-person attendance and QR-based connection activity at Industry Night events during Q1 2026 (January 1 – March 31). Community detection uses the Louvain algorithm on the unweighted, undirected connection graph. Affinity scores are calculated as observed connection frequency divided by expected frequency given relative population sizes. Influence scores weight connection count (40%), 2nd-degree reach (30%), and attendance consistency (30%).</w:t>
      </w:r>
    </w:p>
    <w:p>
      <w:pPr>
        <w:spacing w:after="480" w:before="0"/>
      </w:pPr>
      <w:r>
        <w:rPr>
          <w:rFonts w:ascii="Calibri" w:hAnsi="Calibri"/>
          <w:b w:val="0"/>
          <w:i w:val="0"/>
          <w:color w:val="6B7280"/>
          <w:sz w:val="20"/>
        </w:rPr>
        <w:t>No personally identifiable information is included in this brief. All metrics are aggregated from anonymized platform data. Influence rankings reference specialty and rank only. This brief is prepared exclusively for the named recipient and is not to be redistributed.</w:t>
      </w:r>
    </w:p>
    <w:p>
      <w:pPr>
        <w:pBdr>
          <w:top w:val="single" w:sz="4" w:color="DDD6FE" w:space="4"/>
        </w:pBdr>
      </w:pPr>
    </w:p>
    <w:p>
      <w:pPr>
        <w:spacing w:after="0" w:before="0"/>
        <w:jc w:val="center"/>
      </w:pPr>
      <w:r>
        <w:rPr>
          <w:rFonts w:ascii="Calibri" w:hAnsi="Calibri"/>
          <w:b w:val="0"/>
          <w:i w:val="0"/>
          <w:color w:val="7C3AED"/>
          <w:sz w:val="18"/>
        </w:rPr>
        <w:t>Industry Night  |  Market Intelligence Division  |  intelligence@industrynight.net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0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