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D407A"/>
          <w:sz w:val="48"/>
        </w:rPr>
        <w:t>Small Bank App Requirements Documentation</w:t>
      </w:r>
    </w:p>
    <w:p>
      <w:pPr>
        <w:jc w:val="center"/>
      </w:pPr>
      <w:r>
        <w:rPr>
          <w:color w:val="505050"/>
          <w:sz w:val="24"/>
        </w:rPr>
        <w:t>Secure digital banking reference requirements for C#, ASP.NET, Bootstrap, and SQL Server 2022</w:t>
      </w:r>
    </w:p>
    <w:p/>
    <w:p>
      <w:pPr>
        <w:pStyle w:val="Heading1"/>
      </w:pPr>
      <w:r>
        <w:t>1. Executive Summary</w:t>
      </w:r>
    </w:p>
    <w:p>
      <w:r>
        <w:t>The Small Bank App is designed as a secure, accessible, cross-platform digital banking experience. The priority features are biometric login, MFA, real-time alerts, e-KYC onboarding, account management, transfers, bill pay readiness, and AML-aware transaction monitoring.</w:t>
      </w:r>
    </w:p>
    <w:p>
      <w:pPr>
        <w:pStyle w:val="Heading1"/>
      </w:pPr>
      <w:r>
        <w:t>2. Scope and Assumptions</w:t>
      </w:r>
    </w:p>
    <w:p>
      <w:pPr>
        <w:pStyle w:val="ListBullet"/>
      </w:pPr>
      <w:r>
        <w:t>Target users: retail banking customers and support administrators.</w:t>
      </w:r>
    </w:p>
    <w:p>
      <w:pPr>
        <w:pStyle w:val="ListBullet"/>
      </w:pPr>
      <w:r>
        <w:t>Channels: web-responsive interface with architecture ready for native iOS and Android wrappers.</w:t>
      </w:r>
    </w:p>
    <w:p>
      <w:pPr>
        <w:pStyle w:val="ListBullet"/>
      </w:pPr>
      <w:r>
        <w:t>Backend: ASP.NET Core C# REST API with SQL Server 2022.</w:t>
      </w:r>
    </w:p>
    <w:p>
      <w:pPr>
        <w:pStyle w:val="ListBullet"/>
      </w:pPr>
      <w:r>
        <w:t>Production services such as identity proofing, payment rails, sanctions screening, SMS/email, and fraud scoring are represented as integration interfaces and must be connected to approved vendors before launch.</w:t>
      </w:r>
    </w:p>
    <w:p>
      <w:pPr>
        <w:pStyle w:val="Heading1"/>
      </w:pPr>
      <w:r>
        <w:t>3.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D407A"/>
          </w:tcPr>
          <w:p>
            <w:r/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3360"/>
            <w:shd w:fill="0D407A"/>
          </w:tcPr>
          <w:p>
            <w:r/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3360"/>
            <w:shd w:fill="0D407A"/>
          </w:tcPr>
          <w:p>
            <w:r/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3360"/>
            <w:vAlign w:val="top"/>
          </w:tcPr>
          <w:p>
            <w:r>
              <w:t>Digital Onboarding</w:t>
            </w:r>
          </w:p>
        </w:tc>
        <w:tc>
          <w:tcPr>
            <w:tcW w:type="dxa" w:w="3360"/>
            <w:vAlign w:val="top"/>
          </w:tcPr>
          <w:p>
            <w:r>
              <w:t>Collect profile data, run real-time e-KYC identity proofing, store verification decision and audit trail.</w:t>
            </w:r>
          </w:p>
        </w:tc>
        <w:tc>
          <w:tcPr>
            <w:tcW w:type="dxa" w:w="3360"/>
            <w:vAlign w:val="top"/>
          </w:tcPr>
          <w:p>
            <w:r>
              <w:t>Must</w:t>
            </w:r>
          </w:p>
        </w:tc>
      </w:tr>
      <w:tr>
        <w:tc>
          <w:tcPr>
            <w:tcW w:type="dxa" w:w="3360"/>
            <w:vAlign w:val="top"/>
          </w:tcPr>
          <w:p>
            <w:r>
              <w:t>Authentication</w:t>
            </w:r>
          </w:p>
        </w:tc>
        <w:tc>
          <w:tcPr>
            <w:tcW w:type="dxa" w:w="3360"/>
            <w:vAlign w:val="top"/>
          </w:tcPr>
          <w:p>
            <w:r>
              <w:t>Support password login, MFA, and biometric/passkey-ready login using platform authenticators.</w:t>
            </w:r>
          </w:p>
        </w:tc>
        <w:tc>
          <w:tcPr>
            <w:tcW w:type="dxa" w:w="3360"/>
            <w:vAlign w:val="top"/>
          </w:tcPr>
          <w:p>
            <w:r>
              <w:t>Must</w:t>
            </w:r>
          </w:p>
        </w:tc>
      </w:tr>
      <w:tr>
        <w:tc>
          <w:tcPr>
            <w:tcW w:type="dxa" w:w="3360"/>
            <w:vAlign w:val="top"/>
          </w:tcPr>
          <w:p>
            <w:r>
              <w:t>Account Management</w:t>
            </w:r>
          </w:p>
        </w:tc>
        <w:tc>
          <w:tcPr>
            <w:tcW w:type="dxa" w:w="3360"/>
            <w:vAlign w:val="top"/>
          </w:tcPr>
          <w:p>
            <w:r>
              <w:t>Show real-time balances, masked account numbers, transaction history, and e-statement endpoint.</w:t>
            </w:r>
          </w:p>
        </w:tc>
        <w:tc>
          <w:tcPr>
            <w:tcW w:type="dxa" w:w="3360"/>
            <w:vAlign w:val="top"/>
          </w:tcPr>
          <w:p>
            <w:r>
              <w:t>Must</w:t>
            </w:r>
          </w:p>
        </w:tc>
      </w:tr>
      <w:tr>
        <w:tc>
          <w:tcPr>
            <w:tcW w:type="dxa" w:w="3360"/>
            <w:vAlign w:val="top"/>
          </w:tcPr>
          <w:p>
            <w:r>
              <w:t>Transfers and Payments</w:t>
            </w:r>
          </w:p>
        </w:tc>
        <w:tc>
          <w:tcPr>
            <w:tcW w:type="dxa" w:w="3360"/>
            <w:vAlign w:val="top"/>
          </w:tcPr>
          <w:p>
            <w:r>
              <w:t>Support P2P/internal transfers, external account linking, external payment gateway interface, and bill-pay extension point.</w:t>
            </w:r>
          </w:p>
        </w:tc>
        <w:tc>
          <w:tcPr>
            <w:tcW w:type="dxa" w:w="3360"/>
            <w:vAlign w:val="top"/>
          </w:tcPr>
          <w:p>
            <w:r>
              <w:t>Must</w:t>
            </w:r>
          </w:p>
        </w:tc>
      </w:tr>
      <w:tr>
        <w:tc>
          <w:tcPr>
            <w:tcW w:type="dxa" w:w="3360"/>
            <w:vAlign w:val="top"/>
          </w:tcPr>
          <w:p>
            <w:r>
              <w:t>Real-Time Alerts</w:t>
            </w:r>
          </w:p>
        </w:tc>
        <w:tc>
          <w:tcPr>
            <w:tcW w:type="dxa" w:w="3360"/>
            <w:vAlign w:val="top"/>
          </w:tcPr>
          <w:p>
            <w:r>
              <w:t>Send transaction, low-balance, and security notifications through push, SMS, or email providers.</w:t>
            </w:r>
          </w:p>
        </w:tc>
        <w:tc>
          <w:tcPr>
            <w:tcW w:type="dxa" w:w="3360"/>
            <w:vAlign w:val="top"/>
          </w:tcPr>
          <w:p>
            <w:r>
              <w:t>Must</w:t>
            </w:r>
          </w:p>
        </w:tc>
      </w:tr>
      <w:tr>
        <w:tc>
          <w:tcPr>
            <w:tcW w:type="dxa" w:w="3360"/>
            <w:vAlign w:val="top"/>
          </w:tcPr>
          <w:p>
            <w:r>
              <w:t>AML Controls</w:t>
            </w:r>
          </w:p>
        </w:tc>
        <w:tc>
          <w:tcPr>
            <w:tcW w:type="dxa" w:w="3360"/>
            <w:vAlign w:val="top"/>
          </w:tcPr>
          <w:p>
            <w:r>
              <w:t>Screen transfers for threshold, keyword, sanctions/PEP, velocity, and unusual-pattern rules; create case workflow for review.</w:t>
            </w:r>
          </w:p>
        </w:tc>
        <w:tc>
          <w:tcPr>
            <w:tcW w:type="dxa" w:w="3360"/>
            <w:vAlign w:val="top"/>
          </w:tcPr>
          <w:p>
            <w:r>
              <w:t>Must</w:t>
            </w:r>
          </w:p>
        </w:tc>
      </w:tr>
      <w:tr>
        <w:tc>
          <w:tcPr>
            <w:tcW w:type="dxa" w:w="3360"/>
            <w:vAlign w:val="top"/>
          </w:tcPr>
          <w:p>
            <w:r>
              <w:t>Accessibility</w:t>
            </w:r>
          </w:p>
        </w:tc>
        <w:tc>
          <w:tcPr>
            <w:tcW w:type="dxa" w:w="3360"/>
            <w:vAlign w:val="top"/>
          </w:tcPr>
          <w:p>
            <w:r>
              <w:t>Support keyboard navigation, screen reader labels, high contrast, and voice-command-ready flows.</w:t>
            </w:r>
          </w:p>
        </w:tc>
        <w:tc>
          <w:tcPr>
            <w:tcW w:type="dxa" w:w="3360"/>
            <w:vAlign w:val="top"/>
          </w:tcPr>
          <w:p>
            <w:r>
              <w:t>Must</w:t>
            </w:r>
          </w:p>
        </w:tc>
      </w:tr>
    </w:tbl>
    <w:p/>
    <w:p>
      <w:pPr>
        <w:pStyle w:val="Heading1"/>
      </w:pPr>
      <w:r>
        <w:t>4. Security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D407A"/>
          </w:tcPr>
          <w:p>
            <w:r/>
            <w:r>
              <w:rPr>
                <w:b/>
                <w:color w:val="FFFFFF"/>
              </w:rPr>
              <w:t>Control</w:t>
            </w:r>
          </w:p>
        </w:tc>
        <w:tc>
          <w:tcPr>
            <w:tcW w:type="dxa" w:w="5040"/>
            <w:shd w:fill="0D407A"/>
          </w:tcPr>
          <w:p>
            <w:r/>
            <w:r>
              <w:rPr>
                <w:b/>
                <w:color w:val="FFFFFF"/>
              </w:rPr>
              <w:t>Implementation Requirement</w:t>
            </w:r>
          </w:p>
        </w:tc>
      </w:tr>
      <w:tr>
        <w:tc>
          <w:tcPr>
            <w:tcW w:type="dxa" w:w="5040"/>
            <w:vAlign w:val="top"/>
          </w:tcPr>
          <w:p>
            <w:r>
              <w:t>MFA</w:t>
            </w:r>
          </w:p>
        </w:tc>
        <w:tc>
          <w:tcPr>
            <w:tcW w:type="dxa" w:w="5040"/>
            <w:vAlign w:val="top"/>
          </w:tcPr>
          <w:p>
            <w:r>
              <w:t>Require at least two factors for login and risky actions; support authenticator app, SMS, email OTP, and passkey options.</w:t>
            </w:r>
          </w:p>
        </w:tc>
      </w:tr>
      <w:tr>
        <w:tc>
          <w:tcPr>
            <w:tcW w:type="dxa" w:w="5040"/>
            <w:vAlign w:val="top"/>
          </w:tcPr>
          <w:p>
            <w:r>
              <w:t>Biometrics</w:t>
            </w:r>
          </w:p>
        </w:tc>
        <w:tc>
          <w:tcPr>
            <w:tcW w:type="dxa" w:w="5040"/>
            <w:vAlign w:val="top"/>
          </w:tcPr>
          <w:p>
            <w:r>
              <w:t>Use WebAuthn/passkeys for web and native biometric APIs for mobile; never store raw biometric data on the server.</w:t>
            </w:r>
          </w:p>
        </w:tc>
      </w:tr>
      <w:tr>
        <w:tc>
          <w:tcPr>
            <w:tcW w:type="dxa" w:w="5040"/>
            <w:vAlign w:val="top"/>
          </w:tcPr>
          <w:p>
            <w:r>
              <w:t>Encryption</w:t>
            </w:r>
          </w:p>
        </w:tc>
        <w:tc>
          <w:tcPr>
            <w:tcW w:type="dxa" w:w="5040"/>
            <w:vAlign w:val="top"/>
          </w:tcPr>
          <w:p>
            <w:r>
              <w:t>Use TLS 1.2+ in transit and strong encryption/tokenization for sensitive data at rest. Store keys in a managed key vault.</w:t>
            </w:r>
          </w:p>
        </w:tc>
      </w:tr>
      <w:tr>
        <w:tc>
          <w:tcPr>
            <w:tcW w:type="dxa" w:w="5040"/>
            <w:vAlign w:val="top"/>
          </w:tcPr>
          <w:p>
            <w:r>
              <w:t>Session Security</w:t>
            </w:r>
          </w:p>
        </w:tc>
        <w:tc>
          <w:tcPr>
            <w:tcW w:type="dxa" w:w="5040"/>
            <w:vAlign w:val="top"/>
          </w:tcPr>
          <w:p>
            <w:r>
              <w:t>Use short-lived JWT access tokens, refresh token rotation, device binding, lockout controls, and revocation.</w:t>
            </w:r>
          </w:p>
        </w:tc>
      </w:tr>
      <w:tr>
        <w:tc>
          <w:tcPr>
            <w:tcW w:type="dxa" w:w="5040"/>
            <w:vAlign w:val="top"/>
          </w:tcPr>
          <w:p>
            <w:r>
              <w:t>Audit Logging</w:t>
            </w:r>
          </w:p>
        </w:tc>
        <w:tc>
          <w:tcPr>
            <w:tcW w:type="dxa" w:w="5040"/>
            <w:vAlign w:val="top"/>
          </w:tcPr>
          <w:p>
            <w:r>
              <w:t>Record login, MFA, e-KYC, transfer, external account, admin, and AML case events with tamper-resistant retention.</w:t>
            </w:r>
          </w:p>
        </w:tc>
      </w:tr>
      <w:tr>
        <w:tc>
          <w:tcPr>
            <w:tcW w:type="dxa" w:w="5040"/>
            <w:vAlign w:val="top"/>
          </w:tcPr>
          <w:p>
            <w:r>
              <w:t>API Security</w:t>
            </w:r>
          </w:p>
        </w:tc>
        <w:tc>
          <w:tcPr>
            <w:tcW w:type="dxa" w:w="5040"/>
            <w:vAlign w:val="top"/>
          </w:tcPr>
          <w:p>
            <w:r>
              <w:t>Use authorization policies, rate limiting, input validation, threat detection, and least-privilege service accounts.</w:t>
            </w:r>
          </w:p>
        </w:tc>
      </w:tr>
    </w:tbl>
    <w:p/>
    <w:p>
      <w:pPr>
        <w:pStyle w:val="Heading1"/>
      </w:pPr>
      <w:r>
        <w:t>5. Compliance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D407A"/>
          </w:tcPr>
          <w:p>
            <w:r/>
            <w:r>
              <w:rPr>
                <w:b/>
                <w:color w:val="FFFFFF"/>
              </w:rPr>
              <w:t>Standard / Regulation</w:t>
            </w:r>
          </w:p>
        </w:tc>
        <w:tc>
          <w:tcPr>
            <w:tcW w:type="dxa" w:w="5040"/>
            <w:shd w:fill="0D407A"/>
          </w:tcPr>
          <w:p>
            <w:r/>
            <w:r>
              <w:rPr>
                <w:b/>
                <w:color w:val="FFFFFF"/>
              </w:rPr>
              <w:t>Application to Small Bank App</w:t>
            </w:r>
          </w:p>
        </w:tc>
      </w:tr>
      <w:tr>
        <w:tc>
          <w:tcPr>
            <w:tcW w:type="dxa" w:w="5040"/>
            <w:vAlign w:val="top"/>
          </w:tcPr>
          <w:p>
            <w:r>
              <w:t>BSA/AML / FinCEN / OCC</w:t>
            </w:r>
          </w:p>
        </w:tc>
        <w:tc>
          <w:tcPr>
            <w:tcW w:type="dxa" w:w="5040"/>
            <w:vAlign w:val="top"/>
          </w:tcPr>
          <w:p>
            <w:r>
              <w:t>Risk-based AML program, suspicious activity detection, customer identification, transaction monitoring, case escalation, and record retention.</w:t>
            </w:r>
          </w:p>
        </w:tc>
      </w:tr>
      <w:tr>
        <w:tc>
          <w:tcPr>
            <w:tcW w:type="dxa" w:w="5040"/>
            <w:vAlign w:val="top"/>
          </w:tcPr>
          <w:p>
            <w:r>
              <w:t>KYC / Customer Identification Program</w:t>
            </w:r>
          </w:p>
        </w:tc>
        <w:tc>
          <w:tcPr>
            <w:tcW w:type="dxa" w:w="5040"/>
            <w:vAlign w:val="top"/>
          </w:tcPr>
          <w:p>
            <w:r>
              <w:t>Identity verification during onboarding, evidence capture, sanctions/PEP screening integration, and manual review path.</w:t>
            </w:r>
          </w:p>
        </w:tc>
      </w:tr>
      <w:tr>
        <w:tc>
          <w:tcPr>
            <w:tcW w:type="dxa" w:w="5040"/>
            <w:vAlign w:val="top"/>
          </w:tcPr>
          <w:p>
            <w:r>
              <w:t>PCI DSS</w:t>
            </w:r>
          </w:p>
        </w:tc>
        <w:tc>
          <w:tcPr>
            <w:tcW w:type="dxa" w:w="5040"/>
            <w:vAlign w:val="top"/>
          </w:tcPr>
          <w:p>
            <w:r>
              <w:t>If cardholder data is stored, processed, or transmitted, scope the cardholder data environment and apply PCI DSS controls. Prefer tokenization and hosted payment pages.</w:t>
            </w:r>
          </w:p>
        </w:tc>
      </w:tr>
      <w:tr>
        <w:tc>
          <w:tcPr>
            <w:tcW w:type="dxa" w:w="5040"/>
            <w:vAlign w:val="top"/>
          </w:tcPr>
          <w:p>
            <w:r>
              <w:t>NIST Digital Identity</w:t>
            </w:r>
          </w:p>
        </w:tc>
        <w:tc>
          <w:tcPr>
            <w:tcW w:type="dxa" w:w="5040"/>
            <w:vAlign w:val="top"/>
          </w:tcPr>
          <w:p>
            <w:r>
              <w:t>Map authentication to appropriate assurance levels, phishing-resistant MFA for privileged and high-risk flows, lifecycle management for authenticators.</w:t>
            </w:r>
          </w:p>
        </w:tc>
      </w:tr>
      <w:tr>
        <w:tc>
          <w:tcPr>
            <w:tcW w:type="dxa" w:w="5040"/>
            <w:vAlign w:val="top"/>
          </w:tcPr>
          <w:p>
            <w:r>
              <w:t>FFIEC Guidance</w:t>
            </w:r>
          </w:p>
        </w:tc>
        <w:tc>
          <w:tcPr>
            <w:tcW w:type="dxa" w:w="5040"/>
            <w:vAlign w:val="top"/>
          </w:tcPr>
          <w:p>
            <w:r>
              <w:t>Risk assessment for digital banking authentication, mobile financial service risks, third-party providers, monitoring, and reporting.</w:t>
            </w:r>
          </w:p>
        </w:tc>
      </w:tr>
      <w:tr>
        <w:tc>
          <w:tcPr>
            <w:tcW w:type="dxa" w:w="5040"/>
            <w:vAlign w:val="top"/>
          </w:tcPr>
          <w:p>
            <w:r>
              <w:t>Data Privacy</w:t>
            </w:r>
          </w:p>
        </w:tc>
        <w:tc>
          <w:tcPr>
            <w:tcW w:type="dxa" w:w="5040"/>
            <w:vAlign w:val="top"/>
          </w:tcPr>
          <w:p>
            <w:r>
              <w:t>Provide consent, retention, access, deletion workflow where legally permitted, breach response, and privacy-by-design practices.</w:t>
            </w:r>
          </w:p>
        </w:tc>
      </w:tr>
    </w:tbl>
    <w:p/>
    <w:p>
      <w:pPr>
        <w:pStyle w:val="Heading1"/>
      </w:pPr>
      <w:r>
        <w:t>6. Technical Architecture</w:t>
      </w:r>
    </w:p>
    <w:p>
      <w:r>
        <w:t>Presentation layer uses Bootstrap, HTML, CSS, and JavaScript served by ASP.NET Core. The API layer uses C# controllers and services. The data layer uses EF Core with SQL Server 2022. External integrations include core banking, payment gateway, fraud detection, sanctions/PEP screening, document verification, SMS/email, and push notification providers.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D407A"/>
          </w:tcPr>
          <w:p>
            <w:r/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3360"/>
            <w:shd w:fill="0D407A"/>
          </w:tcPr>
          <w:p>
            <w:r/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3360"/>
            <w:shd w:fill="0D407A"/>
          </w:tcPr>
          <w:p>
            <w:r/>
            <w:r>
              <w:rPr>
                <w:b/>
                <w:color w:val="FFFFFF"/>
              </w:rPr>
              <w:t>Responsibility</w:t>
            </w:r>
          </w:p>
        </w:tc>
      </w:tr>
      <w:tr>
        <w:tc>
          <w:tcPr>
            <w:tcW w:type="dxa" w:w="3360"/>
            <w:vAlign w:val="top"/>
          </w:tcPr>
          <w:p>
            <w:r>
              <w:t>Frontend</w:t>
            </w:r>
          </w:p>
        </w:tc>
        <w:tc>
          <w:tcPr>
            <w:tcW w:type="dxa" w:w="3360"/>
            <w:vAlign w:val="top"/>
          </w:tcPr>
          <w:p>
            <w:r>
              <w:t>Bootstrap, HTML, CSS, JavaScript</w:t>
            </w:r>
          </w:p>
        </w:tc>
        <w:tc>
          <w:tcPr>
            <w:tcW w:type="dxa" w:w="3360"/>
            <w:vAlign w:val="top"/>
          </w:tcPr>
          <w:p>
            <w:r>
              <w:t>Responsive customer experience, accessibility, forms, alerts, passkey initiation.</w:t>
            </w:r>
          </w:p>
        </w:tc>
      </w:tr>
      <w:tr>
        <w:tc>
          <w:tcPr>
            <w:tcW w:type="dxa" w:w="3360"/>
            <w:vAlign w:val="top"/>
          </w:tcPr>
          <w:p>
            <w:r>
              <w:t>API</w:t>
            </w:r>
          </w:p>
        </w:tc>
        <w:tc>
          <w:tcPr>
            <w:tcW w:type="dxa" w:w="3360"/>
            <w:vAlign w:val="top"/>
          </w:tcPr>
          <w:p>
            <w:r>
              <w:t>ASP.NET Core REST API, C#</w:t>
            </w:r>
          </w:p>
        </w:tc>
        <w:tc>
          <w:tcPr>
            <w:tcW w:type="dxa" w:w="3360"/>
            <w:vAlign w:val="top"/>
          </w:tcPr>
          <w:p>
            <w:r>
              <w:t>Authentication, accounts, transfers, onboarding, alerts, AML, integrations.</w:t>
            </w:r>
          </w:p>
        </w:tc>
      </w:tr>
      <w:tr>
        <w:tc>
          <w:tcPr>
            <w:tcW w:type="dxa" w:w="3360"/>
            <w:vAlign w:val="top"/>
          </w:tcPr>
          <w:p>
            <w:r>
              <w:t>Database</w:t>
            </w:r>
          </w:p>
        </w:tc>
        <w:tc>
          <w:tcPr>
            <w:tcW w:type="dxa" w:w="3360"/>
            <w:vAlign w:val="top"/>
          </w:tcPr>
          <w:p>
            <w:r>
              <w:t>SQL Server 2022</w:t>
            </w:r>
          </w:p>
        </w:tc>
        <w:tc>
          <w:tcPr>
            <w:tcW w:type="dxa" w:w="3360"/>
            <w:vAlign w:val="top"/>
          </w:tcPr>
          <w:p>
            <w:r>
              <w:t>Accounts, transactions, audit events, alert preferences, AML cases.</w:t>
            </w:r>
          </w:p>
        </w:tc>
      </w:tr>
      <w:tr>
        <w:tc>
          <w:tcPr>
            <w:tcW w:type="dxa" w:w="3360"/>
            <w:vAlign w:val="top"/>
          </w:tcPr>
          <w:p>
            <w:r>
              <w:t>Cloud</w:t>
            </w:r>
          </w:p>
        </w:tc>
        <w:tc>
          <w:tcPr>
            <w:tcW w:type="dxa" w:w="3360"/>
            <w:vAlign w:val="top"/>
          </w:tcPr>
          <w:p>
            <w:r>
              <w:t>Azure/AWS equivalent</w:t>
            </w:r>
          </w:p>
        </w:tc>
        <w:tc>
          <w:tcPr>
            <w:tcW w:type="dxa" w:w="3360"/>
            <w:vAlign w:val="top"/>
          </w:tcPr>
          <w:p>
            <w:r>
              <w:t>Scalable hosting, load balancing, WAF, Key Vault, monitoring, disaster recovery.</w:t>
            </w:r>
          </w:p>
        </w:tc>
      </w:tr>
    </w:tbl>
    <w:p/>
    <w:p>
      <w:pPr>
        <w:pStyle w:val="Heading1"/>
      </w:pPr>
      <w:r>
        <w:t>7. API Endpoint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D407A"/>
          </w:tcPr>
          <w:p>
            <w:r/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3360"/>
            <w:shd w:fill="0D407A"/>
          </w:tcPr>
          <w:p>
            <w:r/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360"/>
            <w:shd w:fill="0D407A"/>
          </w:tcPr>
          <w:p>
            <w:r/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360"/>
            <w:vAlign w:val="top"/>
          </w:tcPr>
          <w:p>
            <w:r>
              <w:t>/api/auth/register</w:t>
            </w:r>
          </w:p>
        </w:tc>
        <w:tc>
          <w:tcPr>
            <w:tcW w:type="dxa" w:w="3360"/>
            <w:vAlign w:val="top"/>
          </w:tcPr>
          <w:p>
            <w:r>
              <w:t>POST</w:t>
            </w:r>
          </w:p>
        </w:tc>
        <w:tc>
          <w:tcPr>
            <w:tcW w:type="dxa" w:w="3360"/>
            <w:vAlign w:val="top"/>
          </w:tcPr>
          <w:p>
            <w:r>
              <w:t>Create customer profile.</w:t>
            </w:r>
          </w:p>
        </w:tc>
      </w:tr>
      <w:tr>
        <w:tc>
          <w:tcPr>
            <w:tcW w:type="dxa" w:w="3360"/>
            <w:vAlign w:val="top"/>
          </w:tcPr>
          <w:p>
            <w:r>
              <w:t>/api/auth/login</w:t>
            </w:r>
          </w:p>
        </w:tc>
        <w:tc>
          <w:tcPr>
            <w:tcW w:type="dxa" w:w="3360"/>
            <w:vAlign w:val="top"/>
          </w:tcPr>
          <w:p>
            <w:r>
              <w:t>POST</w:t>
            </w:r>
          </w:p>
        </w:tc>
        <w:tc>
          <w:tcPr>
            <w:tcW w:type="dxa" w:w="3360"/>
            <w:vAlign w:val="top"/>
          </w:tcPr>
          <w:p>
            <w:r>
              <w:t>Password and MFA login; issue JWT.</w:t>
            </w:r>
          </w:p>
        </w:tc>
      </w:tr>
      <w:tr>
        <w:tc>
          <w:tcPr>
            <w:tcW w:type="dxa" w:w="3360"/>
            <w:vAlign w:val="top"/>
          </w:tcPr>
          <w:p>
            <w:r>
              <w:t>/api/onboarding/ekyc</w:t>
            </w:r>
          </w:p>
        </w:tc>
        <w:tc>
          <w:tcPr>
            <w:tcW w:type="dxa" w:w="3360"/>
            <w:vAlign w:val="top"/>
          </w:tcPr>
          <w:p>
            <w:r>
              <w:t>POST</w:t>
            </w:r>
          </w:p>
        </w:tc>
        <w:tc>
          <w:tcPr>
            <w:tcW w:type="dxa" w:w="3360"/>
            <w:vAlign w:val="top"/>
          </w:tcPr>
          <w:p>
            <w:r>
              <w:t>Submit e-KYC verification.</w:t>
            </w:r>
          </w:p>
        </w:tc>
      </w:tr>
      <w:tr>
        <w:tc>
          <w:tcPr>
            <w:tcW w:type="dxa" w:w="3360"/>
            <w:vAlign w:val="top"/>
          </w:tcPr>
          <w:p>
            <w:r>
              <w:t>/api/accounts</w:t>
            </w:r>
          </w:p>
        </w:tc>
        <w:tc>
          <w:tcPr>
            <w:tcW w:type="dxa" w:w="3360"/>
            <w:vAlign w:val="top"/>
          </w:tcPr>
          <w:p>
            <w:r>
              <w:t>GET</w:t>
            </w:r>
          </w:p>
        </w:tc>
        <w:tc>
          <w:tcPr>
            <w:tcW w:type="dxa" w:w="3360"/>
            <w:vAlign w:val="top"/>
          </w:tcPr>
          <w:p>
            <w:r>
              <w:t>Get accounts and balances.</w:t>
            </w:r>
          </w:p>
        </w:tc>
      </w:tr>
      <w:tr>
        <w:tc>
          <w:tcPr>
            <w:tcW w:type="dxa" w:w="3360"/>
            <w:vAlign w:val="top"/>
          </w:tcPr>
          <w:p>
            <w:r>
              <w:t>/api/accounts/{id}/transactions</w:t>
            </w:r>
          </w:p>
        </w:tc>
        <w:tc>
          <w:tcPr>
            <w:tcW w:type="dxa" w:w="3360"/>
            <w:vAlign w:val="top"/>
          </w:tcPr>
          <w:p>
            <w:r>
              <w:t>GET</w:t>
            </w:r>
          </w:p>
        </w:tc>
        <w:tc>
          <w:tcPr>
            <w:tcW w:type="dxa" w:w="3360"/>
            <w:vAlign w:val="top"/>
          </w:tcPr>
          <w:p>
            <w:r>
              <w:t>Get transaction history.</w:t>
            </w:r>
          </w:p>
        </w:tc>
      </w:tr>
      <w:tr>
        <w:tc>
          <w:tcPr>
            <w:tcW w:type="dxa" w:w="3360"/>
            <w:vAlign w:val="top"/>
          </w:tcPr>
          <w:p>
            <w:r>
              <w:t>/api/transfers</w:t>
            </w:r>
          </w:p>
        </w:tc>
        <w:tc>
          <w:tcPr>
            <w:tcW w:type="dxa" w:w="3360"/>
            <w:vAlign w:val="top"/>
          </w:tcPr>
          <w:p>
            <w:r>
              <w:t>POST</w:t>
            </w:r>
          </w:p>
        </w:tc>
        <w:tc>
          <w:tcPr>
            <w:tcW w:type="dxa" w:w="3360"/>
            <w:vAlign w:val="top"/>
          </w:tcPr>
          <w:p>
            <w:r>
              <w:t>Submit internal or external transfer with AML screening.</w:t>
            </w:r>
          </w:p>
        </w:tc>
      </w:tr>
      <w:tr>
        <w:tc>
          <w:tcPr>
            <w:tcW w:type="dxa" w:w="3360"/>
            <w:vAlign w:val="top"/>
          </w:tcPr>
          <w:p>
            <w:r>
              <w:t>/api/external-accounts</w:t>
            </w:r>
          </w:p>
        </w:tc>
        <w:tc>
          <w:tcPr>
            <w:tcW w:type="dxa" w:w="3360"/>
            <w:vAlign w:val="top"/>
          </w:tcPr>
          <w:p>
            <w:r>
              <w:t>POST/GET</w:t>
            </w:r>
          </w:p>
        </w:tc>
        <w:tc>
          <w:tcPr>
            <w:tcW w:type="dxa" w:w="3360"/>
            <w:vAlign w:val="top"/>
          </w:tcPr>
          <w:p>
            <w:r>
              <w:t>Link and list external accounts.</w:t>
            </w:r>
          </w:p>
        </w:tc>
      </w:tr>
      <w:tr>
        <w:tc>
          <w:tcPr>
            <w:tcW w:type="dxa" w:w="3360"/>
            <w:vAlign w:val="top"/>
          </w:tcPr>
          <w:p>
            <w:r>
              <w:t>/api/alerts/preferences</w:t>
            </w:r>
          </w:p>
        </w:tc>
        <w:tc>
          <w:tcPr>
            <w:tcW w:type="dxa" w:w="3360"/>
            <w:vAlign w:val="top"/>
          </w:tcPr>
          <w:p>
            <w:r>
              <w:t>GET/PUT</w:t>
            </w:r>
          </w:p>
        </w:tc>
        <w:tc>
          <w:tcPr>
            <w:tcW w:type="dxa" w:w="3360"/>
            <w:vAlign w:val="top"/>
          </w:tcPr>
          <w:p>
            <w:r>
              <w:t>Manage alert settings.</w:t>
            </w:r>
          </w:p>
        </w:tc>
      </w:tr>
    </w:tbl>
    <w:p/>
    <w:p>
      <w:pPr>
        <w:pStyle w:val="Heading1"/>
      </w:pPr>
      <w:r>
        <w:t>8. Non-Functional Requirements</w:t>
      </w:r>
    </w:p>
    <w:p>
      <w:pPr>
        <w:pStyle w:val="ListBullet"/>
      </w:pPr>
      <w:r>
        <w:t>Availability: 99.9% target for MVP, with HA database, health checks, and automated failover for production.</w:t>
      </w:r>
    </w:p>
    <w:p>
      <w:pPr>
        <w:pStyle w:val="ListBullet"/>
      </w:pPr>
      <w:r>
        <w:t>Performance: dashboard loads in under 2 seconds for typical users; transfer API responds within 500 ms excluding external vendor latency.</w:t>
      </w:r>
    </w:p>
    <w:p>
      <w:pPr>
        <w:pStyle w:val="ListBullet"/>
      </w:pPr>
      <w:r>
        <w:t>Scalability: stateless API instances behind a load balancer; asynchronous queues for alerts and vendor calls.</w:t>
      </w:r>
    </w:p>
    <w:p>
      <w:pPr>
        <w:pStyle w:val="ListBullet"/>
      </w:pPr>
      <w:r>
        <w:t>Observability: structured logs, distributed tracing, security analytics, SIEM integration, and real-time operational dashboards.</w:t>
      </w:r>
    </w:p>
    <w:p>
      <w:pPr>
        <w:pStyle w:val="ListBullet"/>
      </w:pPr>
      <w:r>
        <w:t>Accessibility: WCAG-aligned design, semantic HTML, screen reader labels, high contrast, keyboard-only operation, and reduced cognitive load.</w:t>
      </w:r>
    </w:p>
    <w:p>
      <w:pPr>
        <w:pStyle w:val="Heading1"/>
      </w:pPr>
      <w:r>
        <w:t>9. MVP Delivery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D407A"/>
          </w:tcPr>
          <w:p>
            <w:r/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5040"/>
            <w:shd w:fill="0D407A"/>
          </w:tcPr>
          <w:p>
            <w:r/>
            <w:r>
              <w:rPr>
                <w:b/>
                <w:color w:val="FFFFFF"/>
              </w:rPr>
              <w:t>Deliverables</w:t>
            </w:r>
          </w:p>
        </w:tc>
      </w:tr>
      <w:tr>
        <w:tc>
          <w:tcPr>
            <w:tcW w:type="dxa" w:w="5040"/>
            <w:vAlign w:val="top"/>
          </w:tcPr>
          <w:p>
            <w:r>
              <w:t>Phase 1</w:t>
            </w:r>
          </w:p>
        </w:tc>
        <w:tc>
          <w:tcPr>
            <w:tcW w:type="dxa" w:w="5040"/>
            <w:vAlign w:val="top"/>
          </w:tcPr>
          <w:p>
            <w:r>
              <w:t>Identity, MFA-ready login, customer registration, account dashboard, Bootstrap UX.</w:t>
            </w:r>
          </w:p>
        </w:tc>
      </w:tr>
      <w:tr>
        <w:tc>
          <w:tcPr>
            <w:tcW w:type="dxa" w:w="5040"/>
            <w:vAlign w:val="top"/>
          </w:tcPr>
          <w:p>
            <w:r>
              <w:t>Phase 2</w:t>
            </w:r>
          </w:p>
        </w:tc>
        <w:tc>
          <w:tcPr>
            <w:tcW w:type="dxa" w:w="5040"/>
            <w:vAlign w:val="top"/>
          </w:tcPr>
          <w:p>
            <w:r>
              <w:t>e-KYC vendor integration, internal transfers, transaction alerts, audit logs.</w:t>
            </w:r>
          </w:p>
        </w:tc>
      </w:tr>
      <w:tr>
        <w:tc>
          <w:tcPr>
            <w:tcW w:type="dxa" w:w="5040"/>
            <w:vAlign w:val="top"/>
          </w:tcPr>
          <w:p>
            <w:r>
              <w:t>Phase 3</w:t>
            </w:r>
          </w:p>
        </w:tc>
        <w:tc>
          <w:tcPr>
            <w:tcW w:type="dxa" w:w="5040"/>
            <w:vAlign w:val="top"/>
          </w:tcPr>
          <w:p>
            <w:r>
              <w:t>External account linking, payment gateway, AML case management, fraud scoring.</w:t>
            </w:r>
          </w:p>
        </w:tc>
      </w:tr>
      <w:tr>
        <w:tc>
          <w:tcPr>
            <w:tcW w:type="dxa" w:w="5040"/>
            <w:vAlign w:val="top"/>
          </w:tcPr>
          <w:p>
            <w:r>
              <w:t>Phase 4</w:t>
            </w:r>
          </w:p>
        </w:tc>
        <w:tc>
          <w:tcPr>
            <w:tcW w:type="dxa" w:w="5040"/>
            <w:vAlign w:val="top"/>
          </w:tcPr>
          <w:p>
            <w:r>
              <w:t>Native mobile packaging, biometric login, production hardening, compliance validation, penetration testing.</w:t>
            </w:r>
          </w:p>
        </w:tc>
      </w:tr>
    </w:tbl>
    <w:p/>
    <w:p>
      <w:pPr>
        <w:pStyle w:val="Heading1"/>
      </w:pPr>
      <w:r>
        <w:t>10. Source References</w:t>
      </w:r>
    </w:p>
    <w:p>
      <w:pPr>
        <w:pStyle w:val="ListBullet"/>
      </w:pPr>
      <w:r>
        <w:t>FinCEN Bank Secrecy Act: https://www.fincen.gov/resources/statutes-and-regulations/bank-secrecy-act</w:t>
      </w:r>
    </w:p>
    <w:p>
      <w:pPr>
        <w:pStyle w:val="ListBullet"/>
      </w:pPr>
      <w:r>
        <w:t>OCC BSA and Related Regulations: https://www.occ.treas.gov/topics/supervision-and-examination/bsa/bsa-related-regulations/index-bsa-and-related-regulations.html</w:t>
      </w:r>
    </w:p>
    <w:p>
      <w:pPr>
        <w:pStyle w:val="ListBullet"/>
      </w:pPr>
      <w:r>
        <w:t>NIST SP 800-63B Digital Identity Guidelines: https://csrc.nist.gov/pubs/sp/800/63/b/upd2/final</w:t>
      </w:r>
    </w:p>
    <w:p>
      <w:pPr>
        <w:pStyle w:val="ListBullet"/>
      </w:pPr>
      <w:r>
        <w:t>PCI Security Standards Council Document Library: https://www.pcisecuritystandards.org/document_library/</w:t>
      </w:r>
    </w:p>
    <w:p>
      <w:pPr>
        <w:pStyle w:val="ListBullet"/>
      </w:pPr>
      <w:r>
        <w:t>FFIEC Authentication and Access Guidance: https://www.ffiec.gov/news/press-releases/2021/pr-08-11</w:t>
      </w:r>
    </w:p>
    <w:p>
      <w:pPr>
        <w:pStyle w:val="ListBullet"/>
      </w:pPr>
      <w:r>
        <w:t>FFIEC Mobile Financial Services Appendix: https://www.ffiec.gov/sites/default/files/media/press-releases/2016/2016-booklet-appendix-e-mobile-financial-services.pdf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D407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D40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D407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