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07A"/>
          <w:sz w:val="48"/>
        </w:rPr>
        <w:t>Small Bank App User Guide</w:t>
      </w:r>
    </w:p>
    <w:p>
      <w:pPr>
        <w:jc w:val="center"/>
      </w:pPr>
      <w:r>
        <w:rPr>
          <w:color w:val="505050"/>
          <w:sz w:val="24"/>
        </w:rPr>
        <w:t>Customer-facing guide for onboarding, secure login, accounts, transfers, alerts, and accessibility</w:t>
      </w:r>
    </w:p>
    <w:p/>
    <w:p>
      <w:pPr>
        <w:pStyle w:val="Heading1"/>
      </w:pPr>
      <w:r>
        <w:t>1. Getting Started</w:t>
      </w:r>
    </w:p>
    <w:p>
      <w:pPr>
        <w:pStyle w:val="ListNumber"/>
      </w:pPr>
      <w:r>
        <w:t>Open the Small Bank App from your browser or mobile app.</w:t>
      </w:r>
    </w:p>
    <w:p>
      <w:pPr>
        <w:pStyle w:val="ListNumber"/>
      </w:pPr>
      <w:r>
        <w:t>Select Create Account and enter your legal name, email, phone number, date of birth, and password.</w:t>
      </w:r>
    </w:p>
    <w:p>
      <w:pPr>
        <w:pStyle w:val="ListNumber"/>
      </w:pPr>
      <w:r>
        <w:t>Verify your email and phone number when prompted.</w:t>
      </w:r>
    </w:p>
    <w:p>
      <w:pPr>
        <w:pStyle w:val="ListNumber"/>
      </w:pPr>
      <w:r>
        <w:t>Complete identity verification by scanning your ID and taking a selfie when requested.</w:t>
      </w:r>
    </w:p>
    <w:p>
      <w:pPr>
        <w:pStyle w:val="Heading1"/>
      </w:pPr>
      <w:r>
        <w:t>2. Secure Login</w:t>
      </w:r>
    </w:p>
    <w:p>
      <w:r>
        <w:t>After setup, sign in with your email and password. The app will request a second factor such as an authenticator code, SMS code, or email code. On supported devices, you may enable biometric sign-in using Face ID, fingerprint, passkeys, or platform biometrics.</w:t>
      </w:r>
    </w:p>
    <w:p>
      <w:pPr>
        <w:pStyle w:val="Heading1"/>
      </w:pPr>
      <w:r>
        <w:t>3. Account Dashboard</w:t>
      </w:r>
    </w:p>
    <w:p>
      <w:pPr>
        <w:pStyle w:val="ListBullet"/>
      </w:pPr>
      <w:r>
        <w:t>View each account by name, masked account number, current balance, and available balance.</w:t>
      </w:r>
    </w:p>
    <w:p>
      <w:pPr>
        <w:pStyle w:val="ListBullet"/>
      </w:pPr>
      <w:r>
        <w:t>Open an account to review recent transactions.</w:t>
      </w:r>
    </w:p>
    <w:p>
      <w:pPr>
        <w:pStyle w:val="ListBullet"/>
      </w:pPr>
      <w:r>
        <w:t>Download or request an e-statement from the statement section.</w:t>
      </w:r>
    </w:p>
    <w:p>
      <w:pPr>
        <w:pStyle w:val="ListBullet"/>
      </w:pPr>
      <w:r>
        <w:t>Use high contrast or screen reader mode if needed.</w:t>
      </w:r>
    </w:p>
    <w:p>
      <w:pPr>
        <w:pStyle w:val="Heading1"/>
      </w:pPr>
      <w:r>
        <w:t>4. Transfers and Payments</w:t>
      </w:r>
    </w:p>
    <w:tbl>
      <w:tblPr>
        <w:tblStyle w:val="TableGrid"/>
        <w:tblW w:type="auto" w:w="0"/>
        <w:jc w:val="center"/>
        <w:tblLook w:firstColumn="1" w:firstRow="1" w:lastColumn="0" w:lastRow="0" w:noHBand="0" w:noVBand="1" w:val="04A0"/>
      </w:tblPr>
      <w:tblGrid>
        <w:gridCol w:w="5040"/>
        <w:gridCol w:w="5040"/>
      </w:tblGrid>
      <w:tr>
        <w:tc>
          <w:tcPr>
            <w:tcW w:type="dxa" w:w="5040"/>
            <w:shd w:fill="0D407A"/>
          </w:tcPr>
          <w:p>
            <w:r/>
            <w:r>
              <w:rPr>
                <w:b/>
                <w:color w:val="FFFFFF"/>
              </w:rPr>
              <w:t>Task</w:t>
            </w:r>
          </w:p>
        </w:tc>
        <w:tc>
          <w:tcPr>
            <w:tcW w:type="dxa" w:w="5040"/>
            <w:shd w:fill="0D407A"/>
          </w:tcPr>
          <w:p>
            <w:r/>
            <w:r>
              <w:rPr>
                <w:b/>
                <w:color w:val="FFFFFF"/>
              </w:rPr>
              <w:t>Steps</w:t>
            </w:r>
          </w:p>
        </w:tc>
      </w:tr>
      <w:tr>
        <w:tc>
          <w:tcPr>
            <w:tcW w:type="dxa" w:w="5040"/>
            <w:vAlign w:val="top"/>
          </w:tcPr>
          <w:p>
            <w:r>
              <w:t>Send internal transfer</w:t>
            </w:r>
          </w:p>
        </w:tc>
        <w:tc>
          <w:tcPr>
            <w:tcW w:type="dxa" w:w="5040"/>
            <w:vAlign w:val="top"/>
          </w:tcPr>
          <w:p>
            <w:r>
              <w:t>Choose From account, destination account, amount, memo, then confirm.</w:t>
            </w:r>
          </w:p>
        </w:tc>
      </w:tr>
      <w:tr>
        <w:tc>
          <w:tcPr>
            <w:tcW w:type="dxa" w:w="5040"/>
            <w:vAlign w:val="top"/>
          </w:tcPr>
          <w:p>
            <w:r>
              <w:t>Send P2P payment</w:t>
            </w:r>
          </w:p>
        </w:tc>
        <w:tc>
          <w:tcPr>
            <w:tcW w:type="dxa" w:w="5040"/>
            <w:vAlign w:val="top"/>
          </w:tcPr>
          <w:p>
            <w:r>
              <w:t>Select recipient, amount, memo, review risk warnings, then confirm.</w:t>
            </w:r>
          </w:p>
        </w:tc>
      </w:tr>
      <w:tr>
        <w:tc>
          <w:tcPr>
            <w:tcW w:type="dxa" w:w="5040"/>
            <w:vAlign w:val="top"/>
          </w:tcPr>
          <w:p>
            <w:r>
              <w:t>Link external account</w:t>
            </w:r>
          </w:p>
        </w:tc>
        <w:tc>
          <w:tcPr>
            <w:tcW w:type="dxa" w:w="5040"/>
            <w:vAlign w:val="top"/>
          </w:tcPr>
          <w:p>
            <w:r>
              <w:t>Enter institution, routing number, and account number; complete verification such as micro-deposits.</w:t>
            </w:r>
          </w:p>
        </w:tc>
      </w:tr>
      <w:tr>
        <w:tc>
          <w:tcPr>
            <w:tcW w:type="dxa" w:w="5040"/>
            <w:vAlign w:val="top"/>
          </w:tcPr>
          <w:p>
            <w:r>
              <w:t>Bill pay</w:t>
            </w:r>
          </w:p>
        </w:tc>
        <w:tc>
          <w:tcPr>
            <w:tcW w:type="dxa" w:w="5040"/>
            <w:vAlign w:val="top"/>
          </w:tcPr>
          <w:p>
            <w:r>
              <w:t>Add payee, choose amount and date, review payment details, and submit.</w:t>
            </w:r>
          </w:p>
        </w:tc>
      </w:tr>
    </w:tbl>
    <w:p/>
    <w:p>
      <w:pPr>
        <w:pStyle w:val="Heading1"/>
      </w:pPr>
      <w:r>
        <w:t>5. Real-Time Alerts</w:t>
      </w:r>
    </w:p>
    <w:p>
      <w:r>
        <w:t>Alerts help you monitor account activity. Enable push, SMS, or email notifications for transaction activity, low balance, password changes, new device login, external account linking, and security events.</w:t>
      </w:r>
    </w:p>
    <w:p>
      <w:pPr>
        <w:pStyle w:val="Heading1"/>
      </w:pPr>
      <w:r>
        <w:t>6. Security Tips</w:t>
      </w:r>
    </w:p>
    <w:p>
      <w:pPr>
        <w:pStyle w:val="ListBullet"/>
      </w:pPr>
      <w:r>
        <w:t>Use a strong unique password and never share one-time passcodes.</w:t>
      </w:r>
    </w:p>
    <w:p>
      <w:pPr>
        <w:pStyle w:val="ListBullet"/>
      </w:pPr>
      <w:r>
        <w:t>Enable biometric sign-in only on devices you control.</w:t>
      </w:r>
    </w:p>
    <w:p>
      <w:pPr>
        <w:pStyle w:val="ListBullet"/>
      </w:pPr>
      <w:r>
        <w:t>Review alerts immediately and report suspicious activity.</w:t>
      </w:r>
    </w:p>
    <w:p>
      <w:pPr>
        <w:pStyle w:val="ListBullet"/>
      </w:pPr>
      <w:r>
        <w:t>Keep your phone, browser, and app updated.</w:t>
      </w:r>
    </w:p>
    <w:p>
      <w:pPr>
        <w:pStyle w:val="ListBullet"/>
      </w:pPr>
      <w:r>
        <w:t>Do not use public Wi-Fi for sensitive transactions unless protected by a trusted secure network.</w:t>
      </w:r>
    </w:p>
    <w:p>
      <w:pPr>
        <w:pStyle w:val="Heading1"/>
      </w:pPr>
      <w:r>
        <w:t>7. Accessibility Features</w:t>
      </w:r>
    </w:p>
    <w:p>
      <w:pPr>
        <w:pStyle w:val="ListBullet"/>
      </w:pPr>
      <w:r>
        <w:t>Keyboard navigation and visible focus indicators.</w:t>
      </w:r>
    </w:p>
    <w:p>
      <w:pPr>
        <w:pStyle w:val="ListBullet"/>
      </w:pPr>
      <w:r>
        <w:t>Screen reader-friendly labels and headings.</w:t>
      </w:r>
    </w:p>
    <w:p>
      <w:pPr>
        <w:pStyle w:val="ListBullet"/>
      </w:pPr>
      <w:r>
        <w:t>High-contrast text support.</w:t>
      </w:r>
    </w:p>
    <w:p>
      <w:pPr>
        <w:pStyle w:val="ListBullet"/>
      </w:pPr>
      <w:r>
        <w:t>Simple screens designed to reduce cognitive overload.</w:t>
      </w:r>
    </w:p>
    <w:p>
      <w:pPr>
        <w:pStyle w:val="ListBullet"/>
      </w:pPr>
      <w:r>
        <w:t>Voice-command-ready user flows for supported operating systems.</w:t>
      </w:r>
    </w:p>
    <w:p>
      <w:pPr>
        <w:pStyle w:val="Heading1"/>
      </w:pPr>
      <w:r>
        <w:t>8. Troubleshooting</w:t>
      </w:r>
    </w:p>
    <w:tbl>
      <w:tblPr>
        <w:tblStyle w:val="TableGrid"/>
        <w:tblW w:type="auto" w:w="0"/>
        <w:jc w:val="center"/>
        <w:tblLook w:firstColumn="1" w:firstRow="1" w:lastColumn="0" w:lastRow="0" w:noHBand="0" w:noVBand="1" w:val="04A0"/>
      </w:tblPr>
      <w:tblGrid>
        <w:gridCol w:w="5040"/>
        <w:gridCol w:w="5040"/>
      </w:tblGrid>
      <w:tr>
        <w:tc>
          <w:tcPr>
            <w:tcW w:type="dxa" w:w="5040"/>
            <w:shd w:fill="0D407A"/>
          </w:tcPr>
          <w:p>
            <w:r/>
            <w:r>
              <w:rPr>
                <w:b/>
                <w:color w:val="FFFFFF"/>
              </w:rPr>
              <w:t>Issue</w:t>
            </w:r>
          </w:p>
        </w:tc>
        <w:tc>
          <w:tcPr>
            <w:tcW w:type="dxa" w:w="5040"/>
            <w:shd w:fill="0D407A"/>
          </w:tcPr>
          <w:p>
            <w:r/>
            <w:r>
              <w:rPr>
                <w:b/>
                <w:color w:val="FFFFFF"/>
              </w:rPr>
              <w:t>What to Do</w:t>
            </w:r>
          </w:p>
        </w:tc>
      </w:tr>
      <w:tr>
        <w:tc>
          <w:tcPr>
            <w:tcW w:type="dxa" w:w="5040"/>
            <w:vAlign w:val="top"/>
          </w:tcPr>
          <w:p>
            <w:r>
              <w:t>Cannot log in</w:t>
            </w:r>
          </w:p>
        </w:tc>
        <w:tc>
          <w:tcPr>
            <w:tcW w:type="dxa" w:w="5040"/>
            <w:vAlign w:val="top"/>
          </w:tcPr>
          <w:p>
            <w:r>
              <w:t>Check password, use account recovery, or contact support after repeated failures.</w:t>
            </w:r>
          </w:p>
        </w:tc>
      </w:tr>
      <w:tr>
        <w:tc>
          <w:tcPr>
            <w:tcW w:type="dxa" w:w="5040"/>
            <w:vAlign w:val="top"/>
          </w:tcPr>
          <w:p>
            <w:r>
              <w:t>MFA code not received</w:t>
            </w:r>
          </w:p>
        </w:tc>
        <w:tc>
          <w:tcPr>
            <w:tcW w:type="dxa" w:w="5040"/>
            <w:vAlign w:val="top"/>
          </w:tcPr>
          <w:p>
            <w:r>
              <w:t>Check phone/email, wait briefly, request a new code, or use backup authenticator.</w:t>
            </w:r>
          </w:p>
        </w:tc>
      </w:tr>
      <w:tr>
        <w:tc>
          <w:tcPr>
            <w:tcW w:type="dxa" w:w="5040"/>
            <w:vAlign w:val="top"/>
          </w:tcPr>
          <w:p>
            <w:r>
              <w:t>Transfer held for review</w:t>
            </w:r>
          </w:p>
        </w:tc>
        <w:tc>
          <w:tcPr>
            <w:tcW w:type="dxa" w:w="5040"/>
            <w:vAlign w:val="top"/>
          </w:tcPr>
          <w:p>
            <w:r>
              <w:t>The app may hold transfers for AML/fraud review. Support will contact you if additional information is needed.</w:t>
            </w:r>
          </w:p>
        </w:tc>
      </w:tr>
      <w:tr>
        <w:tc>
          <w:tcPr>
            <w:tcW w:type="dxa" w:w="5040"/>
            <w:vAlign w:val="top"/>
          </w:tcPr>
          <w:p>
            <w:r>
              <w:t>Biometric sign-in unavailable</w:t>
            </w:r>
          </w:p>
        </w:tc>
        <w:tc>
          <w:tcPr>
            <w:tcW w:type="dxa" w:w="5040"/>
            <w:vAlign w:val="top"/>
          </w:tcPr>
          <w:p>
            <w:r>
              <w:t>Confirm device biometrics are enabled and use password plus MFA as backup.</w:t>
            </w:r>
          </w:p>
        </w:tc>
      </w:tr>
      <w:tr>
        <w:tc>
          <w:tcPr>
            <w:tcW w:type="dxa" w:w="5040"/>
            <w:vAlign w:val="top"/>
          </w:tcPr>
          <w:p>
            <w:r>
              <w:t>Accessibility issue</w:t>
            </w:r>
          </w:p>
        </w:tc>
        <w:tc>
          <w:tcPr>
            <w:tcW w:type="dxa" w:w="5040"/>
            <w:vAlign w:val="top"/>
          </w:tcPr>
          <w:p>
            <w:r>
              <w:t>Use high contrast, screen reader mode, or contact support for assistance.</w:t>
            </w:r>
          </w:p>
        </w:tc>
      </w:tr>
    </w:tbl>
    <w:p/>
    <w:p>
      <w:pPr>
        <w:pStyle w:val="Heading1"/>
      </w:pPr>
      <w:r>
        <w:t>9. Privacy and Compliance Notice</w:t>
      </w:r>
    </w:p>
    <w:p>
      <w:r>
        <w:t>The app collects identity, contact, device, account, and transaction information to provide banking services, protect customers, and meet legal obligations such as KYC and AML requirements. See the bank privacy notice for specific retention and rights information.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40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40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40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