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FA9CB" w14:textId="77777777" w:rsidR="00792BD9" w:rsidRDefault="00000000">
      <w:pPr>
        <w:spacing w:line="360" w:lineRule="exact"/>
        <w:jc w:val="center"/>
        <w:outlineLvl w:val="0"/>
        <w:rPr>
          <w:rFonts w:ascii="標楷體" w:eastAsia="標楷體" w:hAnsi="標楷體" w:cs="標楷體"/>
          <w:sz w:val="28"/>
          <w:szCs w:val="28"/>
        </w:rPr>
      </w:pPr>
      <w:r>
        <w:rPr>
          <w:rFonts w:ascii="標楷體" w:eastAsia="標楷體" w:hAnsi="標楷體" w:cs="標楷體"/>
          <w:sz w:val="28"/>
          <w:szCs w:val="28"/>
        </w:rPr>
        <w:t>臺北榮民總醫院人體試驗委員會</w:t>
      </w:r>
    </w:p>
    <w:p w14:paraId="1C31A771" w14:textId="77777777" w:rsidR="00792BD9" w:rsidRDefault="00000000">
      <w:pPr>
        <w:spacing w:line="360" w:lineRule="exact"/>
        <w:jc w:val="center"/>
        <w:outlineLvl w:val="0"/>
        <w:rPr>
          <w:rFonts w:ascii="標楷體" w:eastAsia="標楷體" w:hAnsi="標楷體" w:cs="標楷體"/>
          <w:sz w:val="28"/>
          <w:szCs w:val="28"/>
        </w:rPr>
      </w:pPr>
      <w:r>
        <w:rPr>
          <w:rFonts w:ascii="標楷體" w:eastAsia="標楷體" w:hAnsi="標楷體" w:cs="標楷體"/>
          <w:sz w:val="28"/>
          <w:szCs w:val="28"/>
        </w:rPr>
        <w:t>臨床試驗計畫中文計畫書摘要</w:t>
      </w:r>
    </w:p>
    <w:p w14:paraId="37F15399" w14:textId="77777777" w:rsidR="00792BD9" w:rsidRDefault="00000000">
      <w:pPr>
        <w:tabs>
          <w:tab w:val="left" w:pos="567"/>
        </w:tabs>
        <w:spacing w:before="120" w:after="60" w:line="360" w:lineRule="exact"/>
        <w:ind w:left="567" w:hanging="567"/>
        <w:rPr>
          <w:rFonts w:ascii="標楷體" w:eastAsia="標楷體" w:hAnsi="標楷體" w:cs="標楷體"/>
          <w:sz w:val="28"/>
          <w:szCs w:val="28"/>
        </w:rPr>
      </w:pPr>
      <w:r>
        <w:rPr>
          <w:rFonts w:ascii="標楷體" w:eastAsia="標楷體" w:hAnsi="標楷體" w:cs="標楷體"/>
          <w:sz w:val="28"/>
          <w:szCs w:val="28"/>
        </w:rPr>
        <w:t>一、計畫名稱：3% 高張食鹽水霧化吸入合併主動循環呼吸於支氣管擴張症：一項隨機對照試驗</w:t>
      </w:r>
    </w:p>
    <w:p w14:paraId="4020DB3D" w14:textId="39CED8C0" w:rsidR="00792BD9" w:rsidRDefault="00000000">
      <w:pPr>
        <w:tabs>
          <w:tab w:val="left" w:pos="567"/>
        </w:tabs>
        <w:spacing w:before="120" w:after="60" w:line="360" w:lineRule="exact"/>
        <w:ind w:left="567" w:hanging="567"/>
        <w:rPr>
          <w:rFonts w:ascii="標楷體" w:eastAsia="標楷體" w:hAnsi="標楷體" w:cs="標楷體"/>
          <w:sz w:val="28"/>
          <w:szCs w:val="28"/>
        </w:rPr>
      </w:pPr>
      <w:r>
        <w:rPr>
          <w:rFonts w:ascii="標楷體" w:eastAsia="標楷體" w:hAnsi="標楷體" w:cs="標楷體"/>
          <w:sz w:val="28"/>
          <w:szCs w:val="28"/>
        </w:rPr>
        <w:t>二、研究背景：支氣管擴張症之特徵為黏液纖毛清除功能受損、痰液滯留、慢性呼吸道感染及反覆肺部急性惡化，急性惡化與肺功能下降、生活品質惡化、住院及死亡風險增加相關。氣道清潔為照護核心，但支持特定長期策略之證據有限；現行國際指引雖有條件建議霧化高張食鹽水及主動循環呼吸技術（ACBT），證據確定性仍低。2025 年 CLEAR 試驗（288 人、52 週）顯示高張食鹽水組急性惡化率在數值上較低（0.76 vs 0.98 次/人年），但未達統計顯著；另有隨機分派研究顯示 ACBT 可改善部分生活品質，並有延後急性惡化之</w:t>
      </w:r>
      <w:r>
        <w:rPr>
          <w:rFonts w:ascii="標楷體" w:eastAsia="標楷體" w:hAnsi="標楷體" w:cs="標楷體" w:hint="eastAsia"/>
          <w:sz w:val="28"/>
          <w:szCs w:val="28"/>
        </w:rPr>
        <w:t>趨勢</w:t>
      </w:r>
      <w:r>
        <w:rPr>
          <w:rFonts w:ascii="標楷體" w:eastAsia="標楷體" w:hAnsi="標楷體" w:cs="標楷體"/>
          <w:sz w:val="28"/>
          <w:szCs w:val="28"/>
        </w:rPr>
        <w:t>。「高張食鹽水使呼吸道水合並移動黏液，隨即以 ACBT 主動清除分泌物」之整合策略是否能延後急性惡化，尚未經充分驗證。</w:t>
      </w:r>
    </w:p>
    <w:p w14:paraId="47879803" w14:textId="77777777" w:rsidR="00792BD9" w:rsidRDefault="00000000">
      <w:pPr>
        <w:tabs>
          <w:tab w:val="left" w:pos="567"/>
        </w:tabs>
        <w:spacing w:before="120" w:after="60" w:line="360" w:lineRule="exact"/>
        <w:ind w:left="567" w:hanging="567"/>
        <w:rPr>
          <w:rFonts w:ascii="標楷體" w:eastAsia="標楷體" w:hAnsi="標楷體" w:cs="標楷體"/>
          <w:sz w:val="28"/>
          <w:szCs w:val="28"/>
        </w:rPr>
      </w:pPr>
      <w:r>
        <w:rPr>
          <w:rFonts w:ascii="標楷體" w:eastAsia="標楷體" w:hAnsi="標楷體" w:cs="標楷體"/>
          <w:sz w:val="28"/>
          <w:szCs w:val="28"/>
        </w:rPr>
        <w:t>三、研究目的：主要目的為評估於過去一年內反覆急性惡化之成人支氣管擴張症患者，霧化吸入 3% 高張食鹽水後立即進行 ACBT，相較於霧化吸入 0.9% 生理食鹽水合併常規照護，是否能延長 52 週內首次肺部急性惡化發生之時間。次要目的為比較兩組年化急性惡化率、發生 ≥1 次急性惡化之比例、至首次嚴重急性惡化/住院時間、抗生素治療總天數、生活品質（QOL-B、BHQ、LCQ）、痰量與排痰難易度、肺功能、痰液細菌及抗酸菌培養、治療順從性及不良事件。</w:t>
      </w:r>
    </w:p>
    <w:p w14:paraId="37DF97A9" w14:textId="77777777" w:rsidR="00792BD9" w:rsidRDefault="00000000">
      <w:pPr>
        <w:tabs>
          <w:tab w:val="left" w:pos="567"/>
        </w:tabs>
        <w:spacing w:before="120" w:after="60" w:line="360" w:lineRule="exact"/>
        <w:ind w:left="567" w:hanging="567"/>
        <w:rPr>
          <w:rFonts w:ascii="標楷體" w:eastAsia="標楷體" w:hAnsi="標楷體" w:cs="標楷體"/>
          <w:sz w:val="28"/>
          <w:szCs w:val="28"/>
        </w:rPr>
      </w:pPr>
      <w:r>
        <w:rPr>
          <w:rFonts w:ascii="標楷體" w:eastAsia="標楷體" w:hAnsi="標楷體" w:cs="標楷體"/>
          <w:sz w:val="28"/>
          <w:szCs w:val="28"/>
        </w:rPr>
        <w:t>四、研究步驟：</w:t>
      </w:r>
    </w:p>
    <w:p w14:paraId="17CA0FCE" w14:textId="77777777" w:rsidR="00792BD9" w:rsidRDefault="00000000">
      <w:pPr>
        <w:tabs>
          <w:tab w:val="left" w:pos="142"/>
        </w:tabs>
        <w:spacing w:before="60" w:after="60" w:line="360" w:lineRule="exact"/>
        <w:ind w:left="567"/>
        <w:rPr>
          <w:rFonts w:ascii="標楷體" w:eastAsia="標楷體" w:hAnsi="標楷體" w:cs="標楷體"/>
          <w:sz w:val="28"/>
          <w:szCs w:val="28"/>
        </w:rPr>
      </w:pPr>
      <w:r>
        <w:rPr>
          <w:rFonts w:ascii="標楷體" w:eastAsia="標楷體" w:hAnsi="標楷體" w:cs="標楷體"/>
          <w:sz w:val="28"/>
          <w:szCs w:val="28"/>
        </w:rPr>
        <w:t>本研究於臺北榮民總醫院收案 240 位符合條件之受試者，隨機分派至介入組或對照組，每人治療及追蹤 52 週。具體步驟如下：</w:t>
      </w:r>
    </w:p>
    <w:p w14:paraId="3DCD0A68" w14:textId="77777777" w:rsidR="00792BD9" w:rsidRDefault="00000000">
      <w:pPr>
        <w:tabs>
          <w:tab w:val="left" w:pos="142"/>
        </w:tabs>
        <w:spacing w:before="60" w:after="60" w:line="360" w:lineRule="exact"/>
        <w:ind w:left="567"/>
        <w:rPr>
          <w:rFonts w:ascii="標楷體" w:eastAsia="標楷體" w:hAnsi="標楷體" w:cs="標楷體"/>
          <w:sz w:val="28"/>
          <w:szCs w:val="28"/>
        </w:rPr>
      </w:pPr>
      <w:r>
        <w:rPr>
          <w:rFonts w:ascii="標楷體" w:eastAsia="標楷體" w:hAnsi="標楷體" w:cs="標楷體"/>
          <w:sz w:val="28"/>
          <w:szCs w:val="28"/>
        </w:rPr>
        <w:t>1. 篩選訪視：簽署同意書、確認收案條件、肺功能、痰液培養、問卷（QOL-B、BHQ、LCQ）、常規血液常規及生化並多留取研究用血液（選擇性）。隨機分派訪視（第 0 天，篩選後 14 天內，可與篩選同日）：再次確認臨床穩定後隨機分派，第一劑霧化吸入於院內監測耐受性（吸入前是否先給予短效支氣管擴張劑由醫師依臨床判斷決定）；介入組由研究助理提供標準化 ACBT 衛教單張（內含教學影片）。</w:t>
      </w:r>
    </w:p>
    <w:p w14:paraId="7E1516F0" w14:textId="77777777" w:rsidR="00792BD9" w:rsidRDefault="00000000">
      <w:pPr>
        <w:tabs>
          <w:tab w:val="left" w:pos="142"/>
        </w:tabs>
        <w:spacing w:before="60" w:after="60" w:line="360" w:lineRule="exact"/>
        <w:ind w:left="567"/>
        <w:rPr>
          <w:rFonts w:ascii="標楷體" w:eastAsia="標楷體" w:hAnsi="標楷體" w:cs="標楷體"/>
          <w:sz w:val="28"/>
          <w:szCs w:val="28"/>
        </w:rPr>
      </w:pPr>
      <w:r>
        <w:rPr>
          <w:rFonts w:ascii="標楷體" w:eastAsia="標楷體" w:hAnsi="標楷體" w:cs="標楷體"/>
          <w:sz w:val="28"/>
          <w:szCs w:val="28"/>
        </w:rPr>
        <w:t xml:space="preserve">2. 第 2 週、第 1、3、6、9 個月回診：評估急性惡化、抗生素使用、住院、順從性、治療變更及不良事件；研究助理於第 </w:t>
        <w:lastRenderedPageBreak/>
        <w:t>2 週、第 1、3 個月確認介入組 ACBT 執行情形；第 3、6 個月填寫問卷，第 6 個月加做肺功能及痰液培養。</w:t>
      </w:r>
    </w:p>
    <w:p w14:paraId="0A1DE941" w14:textId="77777777" w:rsidR="00792BD9" w:rsidRDefault="00000000">
      <w:pPr>
        <w:tabs>
          <w:tab w:val="left" w:pos="142"/>
        </w:tabs>
        <w:spacing w:before="60" w:after="60" w:line="360" w:lineRule="exact"/>
        <w:ind w:left="567"/>
        <w:rPr>
          <w:rFonts w:ascii="標楷體" w:eastAsia="標楷體" w:hAnsi="標楷體" w:cs="標楷體"/>
          <w:sz w:val="28"/>
          <w:szCs w:val="28"/>
        </w:rPr>
      </w:pPr>
      <w:r>
        <w:rPr>
          <w:rFonts w:ascii="標楷體" w:eastAsia="標楷體" w:hAnsi="標楷體" w:cs="標楷體"/>
          <w:sz w:val="28"/>
          <w:szCs w:val="28"/>
        </w:rPr>
        <w:t>3. 兩次回診之間，受試者以治療日誌記錄症狀惡化、抗生素使用及就醫情形，並由病歷補充。</w:t>
      </w:r>
    </w:p>
    <w:p w14:paraId="388A2407" w14:textId="77777777" w:rsidR="00792BD9" w:rsidRDefault="00000000">
      <w:pPr>
        <w:tabs>
          <w:tab w:val="left" w:pos="142"/>
        </w:tabs>
        <w:spacing w:before="60" w:after="60" w:line="360" w:lineRule="exact"/>
        <w:ind w:left="567"/>
        <w:rPr>
          <w:rFonts w:ascii="標楷體" w:eastAsia="標楷體" w:hAnsi="標楷體" w:cs="標楷體"/>
          <w:sz w:val="28"/>
          <w:szCs w:val="28"/>
        </w:rPr>
      </w:pPr>
      <w:r>
        <w:rPr>
          <w:rFonts w:ascii="標楷體" w:eastAsia="標楷體" w:hAnsi="標楷體" w:cs="標楷體"/>
          <w:sz w:val="28"/>
          <w:szCs w:val="28"/>
        </w:rPr>
        <w:t>4. 第 12 個月（第 52 週）：填寫問卷、肺功能、痰液培養、常規血液常規及生化並多留取研究用血液（選擇性），完成研究。</w:t>
      </w:r>
    </w:p>
    <w:p w14:paraId="2694E9F9" w14:textId="77777777" w:rsidR="00792BD9" w:rsidRDefault="00000000">
      <w:pPr>
        <w:tabs>
          <w:tab w:val="left" w:pos="567"/>
        </w:tabs>
        <w:spacing w:before="120" w:after="60" w:line="360" w:lineRule="exact"/>
        <w:ind w:left="567" w:hanging="567"/>
        <w:rPr>
          <w:rFonts w:ascii="標楷體" w:eastAsia="標楷體" w:hAnsi="標楷體" w:cs="標楷體"/>
          <w:sz w:val="28"/>
          <w:szCs w:val="28"/>
        </w:rPr>
      </w:pPr>
      <w:r>
        <w:rPr>
          <w:rFonts w:ascii="標楷體" w:eastAsia="標楷體" w:hAnsi="標楷體" w:cs="標楷體"/>
          <w:sz w:val="28"/>
          <w:szCs w:val="28"/>
        </w:rPr>
        <w:t>五、研究設計：</w:t>
      </w:r>
    </w:p>
    <w:p w14:paraId="39E0CF99" w14:textId="77777777" w:rsidR="00792BD9" w:rsidRDefault="00000000">
      <w:pPr>
        <w:numPr>
          <w:ilvl w:val="0"/>
          <w:numId w:val="3"/>
        </w:numPr>
        <w:tabs>
          <w:tab w:val="left" w:pos="851"/>
        </w:tabs>
        <w:spacing w:before="60" w:after="60" w:line="360" w:lineRule="exact"/>
        <w:ind w:left="567" w:firstLine="0"/>
        <w:rPr>
          <w:rFonts w:ascii="標楷體" w:eastAsia="標楷體" w:hAnsi="標楷體" w:cs="標楷體"/>
          <w:sz w:val="28"/>
          <w:szCs w:val="28"/>
        </w:rPr>
      </w:pPr>
      <w:r>
        <w:rPr>
          <w:rFonts w:ascii="標楷體" w:eastAsia="標楷體" w:hAnsi="標楷體" w:cs="標楷體"/>
          <w:sz w:val="28"/>
          <w:szCs w:val="28"/>
        </w:rPr>
        <w:t>進行方式：單一中心、前瞻性、隨機分派、雙組平行設計。</w:t>
      </w:r>
    </w:p>
    <w:p w14:paraId="0088E7C5" w14:textId="77777777" w:rsidR="00792BD9" w:rsidRDefault="00000000">
      <w:pPr>
        <w:numPr>
          <w:ilvl w:val="0"/>
          <w:numId w:val="3"/>
        </w:numPr>
        <w:tabs>
          <w:tab w:val="left" w:pos="851"/>
        </w:tabs>
        <w:spacing w:before="60" w:after="60" w:line="360" w:lineRule="exact"/>
        <w:ind w:left="567" w:firstLine="0"/>
        <w:rPr>
          <w:rFonts w:ascii="標楷體" w:eastAsia="標楷體" w:hAnsi="標楷體" w:cs="標楷體"/>
          <w:sz w:val="28"/>
          <w:szCs w:val="28"/>
        </w:rPr>
      </w:pPr>
      <w:r>
        <w:rPr>
          <w:rFonts w:ascii="標楷體" w:eastAsia="標楷體" w:hAnsi="標楷體" w:cs="標楷體"/>
          <w:sz w:val="28"/>
          <w:szCs w:val="28"/>
        </w:rPr>
        <w:t>是否有對照組。是，對照組為 0.9% 生理食鹽水霧化吸入，合併主治醫師依病人狀況提供之常規氣道清潔建議及支氣管擴張症照護。</w:t>
      </w:r>
    </w:p>
    <w:p w14:paraId="1F30131C" w14:textId="77777777" w:rsidR="00792BD9" w:rsidRDefault="00000000">
      <w:pPr>
        <w:numPr>
          <w:ilvl w:val="0"/>
          <w:numId w:val="3"/>
        </w:numPr>
        <w:tabs>
          <w:tab w:val="left" w:pos="851"/>
        </w:tabs>
        <w:spacing w:before="60" w:after="60" w:line="360" w:lineRule="exact"/>
        <w:ind w:left="567" w:firstLine="0"/>
        <w:rPr>
          <w:rFonts w:ascii="標楷體" w:eastAsia="標楷體" w:hAnsi="標楷體" w:cs="標楷體"/>
          <w:sz w:val="28"/>
          <w:szCs w:val="28"/>
        </w:rPr>
      </w:pPr>
      <w:r>
        <w:rPr>
          <w:rFonts w:ascii="標楷體" w:eastAsia="標楷體" w:hAnsi="標楷體" w:cs="標楷體"/>
          <w:sz w:val="28"/>
          <w:szCs w:val="28"/>
        </w:rPr>
        <w:t>盲化方式：單盲（評估者盲性）。霧化治療用食鹽水以外觀相同、僅標示代碼之小瓶包裝由研究助理發放，標準化 ACBT 衛教由研究助理提供，分組名單不記載於病歷，主治醫師不知分組並據以判定急性惡化；受試者可能因衛教內容得知分組，故非雙盲；統計分析人員於資料鎖定前亦不知分組。</w:t>
      </w:r>
    </w:p>
    <w:p w14:paraId="1259E8E6" w14:textId="77777777" w:rsidR="00792BD9" w:rsidRDefault="00000000">
      <w:pPr>
        <w:numPr>
          <w:ilvl w:val="0"/>
          <w:numId w:val="3"/>
        </w:numPr>
        <w:tabs>
          <w:tab w:val="left" w:pos="851"/>
        </w:tabs>
        <w:spacing w:before="60" w:after="60" w:line="360" w:lineRule="exact"/>
        <w:ind w:left="567" w:firstLine="0"/>
        <w:rPr>
          <w:rFonts w:ascii="標楷體" w:eastAsia="標楷體" w:hAnsi="標楷體" w:cs="標楷體"/>
          <w:sz w:val="28"/>
          <w:szCs w:val="28"/>
        </w:rPr>
      </w:pPr>
      <w:r>
        <w:rPr>
          <w:rFonts w:ascii="標楷體" w:eastAsia="標楷體" w:hAnsi="標楷體" w:cs="標楷體"/>
          <w:sz w:val="28"/>
          <w:szCs w:val="28"/>
        </w:rPr>
        <w:t xml:space="preserve">隨機分派：是。以電腦產生之區塊隨機序列 1:1 分派，</w:t>
      </w:r>
      <w:r>
        <w:rPr>
          <w:rFonts w:ascii="標楷體" w:eastAsia="標楷體" w:hAnsi="標楷體" w:cs="標楷體"/>
          <w:sz w:val="28"/>
          <w:szCs w:val="28"/>
        </w:rPr>
        <w:t xml:space="preserve">依是否長期使用巨環類抗生素分層</w:t>
      </w:r>
      <w:r>
        <w:rPr>
          <w:rFonts w:ascii="標楷體" w:eastAsia="標楷體" w:hAnsi="標楷體" w:cs="標楷體"/>
          <w:sz w:val="28"/>
          <w:szCs w:val="28"/>
        </w:rPr>
        <w:t xml:space="preserve">，隨機序列由不參與收案之人員以電腦產生並保管，以確保分配隱匿。</w:t>
      </w:r>
    </w:p>
    <w:p w14:paraId="1E4888B9" w14:textId="77777777" w:rsidR="00792BD9" w:rsidRDefault="00000000">
      <w:pPr>
        <w:tabs>
          <w:tab w:val="left" w:pos="567"/>
        </w:tabs>
        <w:spacing w:before="120" w:after="60" w:line="360" w:lineRule="exact"/>
        <w:ind w:left="567" w:hanging="567"/>
        <w:rPr>
          <w:rFonts w:ascii="標楷體" w:eastAsia="標楷體" w:hAnsi="標楷體" w:cs="標楷體"/>
          <w:sz w:val="28"/>
          <w:szCs w:val="28"/>
        </w:rPr>
      </w:pPr>
      <w:r>
        <w:rPr>
          <w:rFonts w:ascii="標楷體" w:eastAsia="標楷體" w:hAnsi="標楷體" w:cs="標楷體"/>
          <w:sz w:val="28"/>
          <w:szCs w:val="28"/>
        </w:rPr>
        <w:t>六、</w:t>
        <w:tab/>
        <w:t>受試者：</w:t>
      </w:r>
    </w:p>
    <w:p w14:paraId="5FB1F623" w14:textId="77777777" w:rsidR="00792BD9" w:rsidRDefault="00000000">
      <w:pPr>
        <w:numPr>
          <w:ilvl w:val="0"/>
          <w:numId w:val="8"/>
        </w:numPr>
        <w:tabs>
          <w:tab w:val="left" w:pos="993"/>
        </w:tabs>
        <w:spacing w:before="60" w:after="60" w:line="360" w:lineRule="exact"/>
        <w:ind w:left="993" w:hanging="426"/>
        <w:rPr>
          <w:rFonts w:ascii="標楷體" w:eastAsia="標楷體" w:hAnsi="標楷體" w:cs="標楷體"/>
          <w:sz w:val="28"/>
          <w:szCs w:val="28"/>
        </w:rPr>
      </w:pPr>
      <w:r>
        <w:rPr>
          <w:rFonts w:ascii="標楷體" w:eastAsia="標楷體" w:hAnsi="標楷體" w:cs="標楷體"/>
          <w:sz w:val="28"/>
          <w:szCs w:val="28"/>
        </w:rPr>
        <w:t>選擇標準：</w:t>
      </w:r>
    </w:p>
    <w:p w14:paraId="493C8580" w14:textId="77777777" w:rsidR="00792BD9" w:rsidRDefault="00000000">
      <w:pPr>
        <w:spacing w:after="180" w:line="0" w:lineRule="atLeast"/>
        <w:ind w:left="806"/>
        <w:rPr>
          <w:rFonts w:eastAsia="標楷體" w:cs="標楷體"/>
          <w:sz w:val="28"/>
          <w:szCs w:val="28"/>
        </w:rPr>
      </w:pPr>
      <w:r>
        <w:rPr>
          <w:rFonts w:eastAsia="標楷體" w:cs="標楷體"/>
          <w:sz w:val="28"/>
          <w:szCs w:val="28"/>
        </w:rPr>
        <w:t xml:space="preserve">・年滿 18 歲（含）以上之成年人。</w:t>
      </w:r>
    </w:p>
    <w:p w14:paraId="31DA6D7F" w14:textId="77777777" w:rsidR="00792BD9" w:rsidRDefault="00000000">
      <w:pPr>
        <w:spacing w:after="180" w:line="0" w:lineRule="atLeast"/>
        <w:ind w:left="806"/>
        <w:rPr>
          <w:rFonts w:eastAsia="標楷體" w:cs="標楷體"/>
          <w:sz w:val="28"/>
          <w:szCs w:val="28"/>
        </w:rPr>
      </w:pPr>
      <w:r>
        <w:rPr>
          <w:rFonts w:eastAsia="標楷體" w:cs="標楷體"/>
          <w:sz w:val="28"/>
          <w:szCs w:val="28"/>
        </w:rPr>
        <w:t>・經胸部電腦斷層（CT）確診為支氣管擴張症（bronchiectasis）。</w:t>
      </w:r>
    </w:p>
    <w:p w14:paraId="23A76D7E" w14:textId="77777777" w:rsidR="00792BD9" w:rsidRDefault="00000000">
      <w:pPr>
        <w:spacing w:after="180" w:line="0" w:lineRule="atLeast"/>
        <w:ind w:left="806"/>
        <w:rPr>
          <w:rFonts w:eastAsia="標楷體" w:cs="標楷體"/>
          <w:sz w:val="28"/>
          <w:szCs w:val="28"/>
        </w:rPr>
      </w:pPr>
      <w:r>
        <w:rPr>
          <w:rFonts w:eastAsia="標楷體" w:cs="標楷體"/>
          <w:sz w:val="28"/>
          <w:szCs w:val="28"/>
        </w:rPr>
        <w:t>・有慢性咳嗽及咳痰症狀。</w:t>
      </w:r>
    </w:p>
    <w:p w14:paraId="692031C5" w14:textId="77777777" w:rsidR="00792BD9" w:rsidRDefault="00000000">
      <w:pPr>
        <w:spacing w:after="180" w:line="0" w:lineRule="atLeast"/>
        <w:ind w:left="806"/>
        <w:rPr>
          <w:rFonts w:eastAsia="標楷體" w:cs="標楷體"/>
          <w:sz w:val="28"/>
          <w:szCs w:val="28"/>
        </w:rPr>
      </w:pPr>
      <w:r>
        <w:rPr>
          <w:rFonts w:eastAsia="標楷體" w:cs="標楷體"/>
          <w:sz w:val="28"/>
          <w:szCs w:val="28"/>
        </w:rPr>
        <w:t xml:space="preserve">・臨床穩定 ≥4 週（收案前 4 週內無急性惡化，且未因急性惡化使用抗生素）。</w:t>
      </w:r>
    </w:p>
    <w:p w14:paraId="132238D9" w14:textId="77777777" w:rsidR="00792BD9" w:rsidRDefault="00000000">
      <w:pPr>
        <w:spacing w:after="180" w:line="0" w:lineRule="atLeast"/>
        <w:ind w:left="806"/>
        <w:rPr>
          <w:rFonts w:eastAsia="標楷體" w:cs="標楷體"/>
          <w:sz w:val="28"/>
          <w:szCs w:val="28"/>
        </w:rPr>
      </w:pPr>
      <w:r>
        <w:rPr>
          <w:rFonts w:eastAsia="標楷體" w:cs="標楷體"/>
          <w:sz w:val="28"/>
          <w:szCs w:val="28"/>
        </w:rPr>
        <w:t xml:space="preserve">・收案前 12 個月內有 ≥2 次經醫師治療之肺部急性惡化。</w:t>
      </w:r>
    </w:p>
    <w:p w14:paraId="22EB8DFD" w14:textId="77777777" w:rsidR="00792BD9" w:rsidRDefault="00000000">
      <w:pPr>
        <w:spacing w:after="180" w:line="0" w:lineRule="atLeast"/>
        <w:ind w:left="806"/>
        <w:rPr>
          <w:rFonts w:eastAsia="標楷體" w:cs="標楷體"/>
          <w:sz w:val="28"/>
          <w:szCs w:val="28"/>
        </w:rPr>
      </w:pPr>
      <w:r>
        <w:rPr>
          <w:rFonts w:eastAsia="標楷體" w:cs="標楷體"/>
          <w:sz w:val="28"/>
          <w:szCs w:val="28"/>
        </w:rPr>
        <w:t>・可正確執行標準化主動循環呼吸技術（active cycle of breathing technique, ACBT）。</w:t>
      </w:r>
    </w:p>
    <w:p w14:paraId="41B2DC61" w14:textId="77777777" w:rsidR="00792BD9" w:rsidRDefault="00000000">
      <w:pPr>
        <w:spacing w:after="180" w:line="0" w:lineRule="atLeast"/>
        <w:ind w:left="806"/>
        <w:rPr>
          <w:rFonts w:eastAsia="標楷體" w:cs="標楷體"/>
          <w:sz w:val="28"/>
          <w:szCs w:val="28"/>
        </w:rPr>
      </w:pPr>
      <w:r>
        <w:rPr>
          <w:rFonts w:eastAsia="標楷體" w:cs="標楷體"/>
          <w:sz w:val="28"/>
          <w:szCs w:val="28"/>
        </w:rPr>
        <w:t xml:space="preserve">・收案前 8 週內未開始或大幅調整多藥抗非結核分枝桿菌（nontuberculous mycobacteria, NTM）治療。</w:t>
      </w:r>
    </w:p>
    <w:p w14:paraId="05BD5B4B" w14:textId="77777777" w:rsidR="00792BD9" w:rsidRDefault="00000000">
      <w:pPr>
        <w:spacing w:after="180" w:line="0" w:lineRule="atLeast"/>
        <w:ind w:left="806"/>
        <w:rPr>
          <w:rFonts w:eastAsia="標楷體" w:cs="標楷體"/>
          <w:sz w:val="28"/>
          <w:szCs w:val="28"/>
        </w:rPr>
      </w:pPr>
      <w:r>
        <w:rPr>
          <w:rFonts w:eastAsia="標楷體" w:cs="標楷體"/>
          <w:sz w:val="28"/>
          <w:szCs w:val="28"/>
        </w:rPr>
        <w:lastRenderedPageBreak/>
        <w:t xml:space="preserve">・若長期使用巨環類抗生素（macrolide）、吸入型抗生素或其他指引建議之維持治療，須於隨機分派前穩定使用 ≥8 週。</w:t>
      </w:r>
    </w:p>
    <w:p w14:paraId="4C640EDB" w14:textId="77777777" w:rsidR="00792BD9" w:rsidRDefault="00000000">
      <w:pPr>
        <w:spacing w:after="180" w:line="0" w:lineRule="atLeast"/>
        <w:ind w:left="806"/>
        <w:rPr>
          <w:rFonts w:eastAsia="標楷體" w:cs="標楷體"/>
          <w:sz w:val="28"/>
          <w:szCs w:val="28"/>
        </w:rPr>
      </w:pPr>
      <w:r>
        <w:rPr>
          <w:rFonts w:eastAsia="標楷體" w:cs="標楷體"/>
          <w:sz w:val="28"/>
          <w:szCs w:val="28"/>
        </w:rPr>
        <w:t>・能理解並簽署受試者同意書。</w:t>
      </w:r>
    </w:p>
    <w:p w14:paraId="359AD3C2" w14:textId="77777777" w:rsidR="00792BD9" w:rsidRDefault="00000000">
      <w:pPr>
        <w:numPr>
          <w:ilvl w:val="0"/>
          <w:numId w:val="8"/>
        </w:numPr>
        <w:tabs>
          <w:tab w:val="left" w:pos="993"/>
        </w:tabs>
        <w:spacing w:before="60" w:after="60" w:line="360" w:lineRule="exact"/>
        <w:ind w:left="993" w:hanging="426"/>
        <w:rPr>
          <w:rFonts w:ascii="標楷體" w:eastAsia="標楷體" w:hAnsi="標楷體" w:cs="標楷體"/>
          <w:sz w:val="28"/>
          <w:szCs w:val="28"/>
        </w:rPr>
      </w:pPr>
      <w:r>
        <w:rPr>
          <w:rFonts w:ascii="標楷體" w:eastAsia="標楷體" w:hAnsi="標楷體" w:cs="標楷體"/>
          <w:sz w:val="28"/>
          <w:szCs w:val="28"/>
        </w:rPr>
        <w:t>排除標準：</w:t>
      </w:r>
    </w:p>
    <w:p w14:paraId="0FBA780C" w14:textId="77777777" w:rsidR="00792BD9" w:rsidRDefault="00000000">
      <w:pPr>
        <w:spacing w:after="180" w:line="0" w:lineRule="atLeast"/>
        <w:ind w:left="806"/>
        <w:rPr>
          <w:rFonts w:eastAsia="標楷體" w:cs="標楷體"/>
          <w:sz w:val="28"/>
          <w:szCs w:val="28"/>
        </w:rPr>
      </w:pPr>
      <w:r>
        <w:rPr>
          <w:rFonts w:eastAsia="標楷體" w:cs="標楷體"/>
          <w:sz w:val="28"/>
          <w:szCs w:val="28"/>
        </w:rPr>
        <w:t>・囊性纖維化（cystic fibrosis）。</w:t>
      </w:r>
    </w:p>
    <w:p w14:paraId="7F9C0B2B" w14:textId="77777777" w:rsidR="00792BD9" w:rsidRDefault="00000000">
      <w:pPr>
        <w:spacing w:after="180" w:line="0" w:lineRule="atLeast"/>
        <w:ind w:left="806"/>
        <w:rPr>
          <w:rFonts w:eastAsia="標楷體" w:cs="標楷體"/>
          <w:sz w:val="28"/>
          <w:szCs w:val="28"/>
        </w:rPr>
      </w:pPr>
      <w:r>
        <w:rPr>
          <w:rFonts w:eastAsia="標楷體" w:cs="標楷體"/>
          <w:sz w:val="28"/>
          <w:szCs w:val="28"/>
        </w:rPr>
        <w:t>・目前處於急性惡化期。</w:t>
      </w:r>
    </w:p>
    <w:p w14:paraId="20657446" w14:textId="77777777" w:rsidR="00792BD9" w:rsidRDefault="00000000">
      <w:pPr>
        <w:spacing w:after="180" w:line="0" w:lineRule="atLeast"/>
        <w:ind w:left="806"/>
        <w:rPr>
          <w:rFonts w:eastAsia="標楷體" w:cs="標楷體"/>
          <w:sz w:val="28"/>
          <w:szCs w:val="28"/>
        </w:rPr>
      </w:pPr>
      <w:r>
        <w:rPr>
          <w:rFonts w:eastAsia="標楷體" w:cs="標楷體"/>
          <w:sz w:val="28"/>
          <w:szCs w:val="28"/>
        </w:rPr>
        <w:t>・目前規律使用高張食鹽水。</w:t>
      </w:r>
    </w:p>
    <w:p w14:paraId="6F2A5A73" w14:textId="77777777" w:rsidR="00792BD9" w:rsidRDefault="00000000">
      <w:pPr>
        <w:spacing w:after="180" w:line="0" w:lineRule="atLeast"/>
        <w:ind w:left="806"/>
        <w:rPr>
          <w:rFonts w:eastAsia="標楷體" w:cs="標楷體"/>
          <w:sz w:val="28"/>
          <w:szCs w:val="28"/>
        </w:rPr>
      </w:pPr>
      <w:r>
        <w:rPr>
          <w:rFonts w:eastAsia="標楷體" w:cs="標楷體"/>
          <w:sz w:val="28"/>
          <w:szCs w:val="28"/>
        </w:rPr>
        <w:t xml:space="preserve">・目前規律執行結構化 ACBT 或同等強度之氣道清潔技術。</w:t>
      </w:r>
    </w:p>
    <w:p w14:paraId="46DCD062" w14:textId="77777777" w:rsidR="00792BD9" w:rsidRDefault="00000000">
      <w:pPr>
        <w:spacing w:after="180" w:line="0" w:lineRule="atLeast"/>
        <w:ind w:left="806"/>
        <w:rPr>
          <w:rFonts w:eastAsia="標楷體" w:cs="標楷體"/>
          <w:sz w:val="28"/>
          <w:szCs w:val="28"/>
        </w:rPr>
      </w:pPr>
      <w:r>
        <w:rPr>
          <w:rFonts w:eastAsia="標楷體" w:cs="標楷體"/>
          <w:sz w:val="28"/>
          <w:szCs w:val="28"/>
        </w:rPr>
        <w:t>・大量或近期咳血。</w:t>
      </w:r>
    </w:p>
    <w:p w14:paraId="20331AF1" w14:textId="77777777" w:rsidR="00792BD9" w:rsidRDefault="00000000">
      <w:pPr>
        <w:spacing w:after="180" w:line="0" w:lineRule="atLeast"/>
        <w:ind w:left="806"/>
        <w:rPr>
          <w:rFonts w:eastAsia="標楷體" w:cs="標楷體"/>
          <w:sz w:val="28"/>
          <w:szCs w:val="28"/>
        </w:rPr>
      </w:pPr>
      <w:r>
        <w:rPr>
          <w:rFonts w:eastAsia="標楷體" w:cs="標楷體"/>
          <w:sz w:val="28"/>
          <w:szCs w:val="28"/>
        </w:rPr>
        <w:t xml:space="preserve">・已知無法耐受 3% 高張食鹽水。</w:t>
      </w:r>
    </w:p>
    <w:p w14:paraId="639D5322" w14:textId="77777777" w:rsidR="00792BD9" w:rsidRDefault="00000000">
      <w:pPr>
        <w:spacing w:after="180" w:line="0" w:lineRule="atLeast"/>
        <w:ind w:left="806"/>
        <w:rPr>
          <w:rFonts w:eastAsia="標楷體" w:cs="標楷體"/>
          <w:sz w:val="28"/>
          <w:szCs w:val="28"/>
        </w:rPr>
      </w:pPr>
      <w:r>
        <w:rPr>
          <w:rFonts w:eastAsia="標楷體" w:cs="標楷體"/>
          <w:sz w:val="28"/>
          <w:szCs w:val="28"/>
        </w:rPr>
        <w:t>・未控制之氣喘或顯著支氣管痙攣。</w:t>
      </w:r>
    </w:p>
    <w:p w14:paraId="258B3969" w14:textId="77777777" w:rsidR="00792BD9" w:rsidRDefault="00000000">
      <w:pPr>
        <w:spacing w:after="180" w:line="0" w:lineRule="atLeast"/>
        <w:ind w:left="806"/>
        <w:rPr>
          <w:rFonts w:eastAsia="標楷體" w:cs="標楷體"/>
          <w:sz w:val="28"/>
          <w:szCs w:val="28"/>
        </w:rPr>
      </w:pPr>
      <w:r>
        <w:rPr>
          <w:rFonts w:eastAsia="標楷體" w:cs="標楷體"/>
          <w:sz w:val="28"/>
          <w:szCs w:val="28"/>
        </w:rPr>
        <w:t xml:space="preserve">・NTM 相關排除（嚴格適用）：(1) 收案前 8 週內剛開始多藥抗 NTM 治療者；(2) 預期於 52 週追蹤期間將進行重大 NTM 藥物調整或外科切除者；(3) 合併活動性空洞病灶且近期有大咳血病史者。</w:t>
      </w:r>
    </w:p>
    <w:p w14:paraId="692646DC" w14:textId="77777777" w:rsidR="00792BD9" w:rsidRDefault="00000000">
      <w:pPr>
        <w:spacing w:after="180" w:line="0" w:lineRule="atLeast"/>
        <w:ind w:left="806"/>
        <w:rPr>
          <w:rFonts w:eastAsia="標楷體" w:cs="標楷體"/>
          <w:sz w:val="28"/>
          <w:szCs w:val="28"/>
        </w:rPr>
      </w:pPr>
      <w:r>
        <w:rPr>
          <w:rFonts w:eastAsia="標楷體" w:cs="標楷體"/>
          <w:sz w:val="28"/>
          <w:szCs w:val="28"/>
        </w:rPr>
        <w:t>・懷孕或哺乳中婦女。</w:t>
      </w:r>
    </w:p>
    <w:p w14:paraId="7C795E54" w14:textId="77777777" w:rsidR="00792BD9" w:rsidRDefault="00000000">
      <w:pPr>
        <w:spacing w:after="180" w:line="0" w:lineRule="atLeast"/>
        <w:ind w:left="806"/>
        <w:rPr>
          <w:rFonts w:eastAsia="標楷體" w:cs="標楷體"/>
          <w:sz w:val="28"/>
          <w:szCs w:val="28"/>
        </w:rPr>
      </w:pPr>
      <w:r>
        <w:rPr>
          <w:rFonts w:eastAsia="標楷體" w:cs="標楷體"/>
          <w:sz w:val="28"/>
          <w:szCs w:val="28"/>
        </w:rPr>
        <w:t>・經研究者評估不適合參與本研究者。</w:t>
      </w:r>
    </w:p>
    <w:p w14:paraId="5724B8BF" w14:textId="77777777" w:rsidR="00792BD9" w:rsidRDefault="00000000">
      <w:pPr>
        <w:numPr>
          <w:ilvl w:val="0"/>
          <w:numId w:val="8"/>
        </w:numPr>
        <w:tabs>
          <w:tab w:val="left" w:pos="993"/>
        </w:tabs>
        <w:spacing w:before="60" w:after="60" w:line="360" w:lineRule="exact"/>
        <w:ind w:left="993" w:hanging="426"/>
        <w:rPr>
          <w:rFonts w:ascii="標楷體" w:eastAsia="標楷體" w:hAnsi="標楷體" w:cs="標楷體"/>
          <w:sz w:val="28"/>
          <w:szCs w:val="28"/>
        </w:rPr>
      </w:pPr>
      <w:r>
        <w:rPr>
          <w:rFonts w:ascii="標楷體" w:eastAsia="標楷體" w:hAnsi="標楷體" w:cs="標楷體"/>
          <w:sz w:val="28"/>
          <w:szCs w:val="28"/>
        </w:rPr>
        <w:t>受試者數目：</w:t>
      </w:r>
    </w:p>
    <w:p w14:paraId="36D05785" w14:textId="2D08CD56" w:rsidR="00792BD9" w:rsidRDefault="00000000">
      <w:pPr>
        <w:tabs>
          <w:tab w:val="left" w:pos="142"/>
        </w:tabs>
        <w:spacing w:before="60" w:after="60" w:line="360" w:lineRule="exact"/>
        <w:ind w:left="567"/>
        <w:rPr>
          <w:rFonts w:ascii="標楷體" w:eastAsia="標楷體" w:hAnsi="標楷體" w:cs="標楷體"/>
          <w:sz w:val="28"/>
          <w:szCs w:val="28"/>
        </w:rPr>
      </w:pPr>
      <w:r>
        <w:rPr>
          <w:rFonts w:ascii="標楷體" w:eastAsia="標楷體" w:hAnsi="標楷體" w:cs="標楷體"/>
          <w:sz w:val="28"/>
          <w:szCs w:val="28"/>
        </w:rPr>
        <w:t>240 人（每組 120 人）。</w:t>
      </w:r>
    </w:p>
    <w:p w14:paraId="71BA64E0" w14:textId="77777777" w:rsidR="00792BD9" w:rsidRDefault="00000000">
      <w:pPr>
        <w:tabs>
          <w:tab w:val="left" w:pos="567"/>
        </w:tabs>
        <w:spacing w:before="120" w:after="60" w:line="360" w:lineRule="exact"/>
        <w:ind w:left="567" w:hanging="567"/>
        <w:rPr>
          <w:rFonts w:ascii="標楷體" w:eastAsia="標楷體" w:hAnsi="標楷體" w:cs="標楷體"/>
          <w:sz w:val="28"/>
          <w:szCs w:val="28"/>
        </w:rPr>
      </w:pPr>
      <w:r>
        <w:rPr>
          <w:rFonts w:ascii="標楷體" w:eastAsia="標楷體" w:hAnsi="標楷體" w:cs="標楷體"/>
          <w:sz w:val="28"/>
          <w:szCs w:val="28"/>
        </w:rPr>
        <w:t>七、研究方法：</w:t>
      </w:r>
    </w:p>
    <w:p w14:paraId="16BCE43B" w14:textId="77777777" w:rsidR="00792BD9" w:rsidRDefault="00000000">
      <w:pPr>
        <w:numPr>
          <w:ilvl w:val="0"/>
          <w:numId w:val="6"/>
        </w:numPr>
        <w:tabs>
          <w:tab w:val="left" w:pos="993"/>
        </w:tabs>
        <w:spacing w:before="60" w:after="60" w:line="360" w:lineRule="exact"/>
        <w:rPr>
          <w:rFonts w:ascii="標楷體" w:eastAsia="標楷體" w:hAnsi="標楷體" w:cs="標楷體"/>
          <w:sz w:val="28"/>
          <w:szCs w:val="28"/>
        </w:rPr>
      </w:pPr>
      <w:r>
        <w:rPr>
          <w:rFonts w:ascii="標楷體" w:eastAsia="標楷體" w:hAnsi="標楷體" w:cs="標楷體"/>
          <w:sz w:val="28"/>
          <w:szCs w:val="28"/>
        </w:rPr>
        <w:t xml:space="preserve">治療程序：兩組（HS+ACBT vs NS）皆鼓勵使用網片式（mesh）霧化器，並採相同之使用頻率（每日一次 [qd]，或每日兩次 [bid]）與使用時間（每次霧化吸入時間相近，治療期均為 52 週）。介入組（HS+ACBT）霧化吸入 3% 高張食鹽水 3–5 mL，吸入後</w:t>
      </w:r>
      <w:r>
        <w:rPr>
          <w:rFonts w:ascii="標楷體" w:eastAsia="標楷體" w:hAnsi="標楷體" w:cs="標楷體"/>
          <w:sz w:val="28"/>
          <w:szCs w:val="28"/>
        </w:rPr>
        <w:t xml:space="preserve">立即進行約 10–20 分鐘標準化 ACBT（呼吸控制 → 胸廓擴張 → 呼吸控制 → 用力呼氣/哈氣，視需要重複），由研究助理提供標準化衛教單張（內含教學影片）指導；</w:t>
      </w:r>
      <w:r>
        <w:rPr>
          <w:rFonts w:ascii="標楷體" w:eastAsia="標楷體" w:hAnsi="標楷體" w:cs="標楷體"/>
          <w:sz w:val="28"/>
          <w:szCs w:val="28"/>
        </w:rPr>
        <w:t xml:space="preserve">對照組（NS）以相同霧化器、相同頻率及使用時間霧化吸入</w:t>
      </w:r>
      <w:r>
        <w:rPr>
          <w:rFonts w:ascii="標楷體" w:eastAsia="標楷體" w:hAnsi="標楷體" w:cs="標楷體"/>
          <w:sz w:val="28"/>
          <w:szCs w:val="28"/>
        </w:rPr>
        <w:t xml:space="preserve"> 0.9% 生理食鹽水 3–5 mL，並接受主治醫師依病人狀況提供之常規氣道清潔建議，不接受標準化 ACBT 衛教。兩組治療期均為 52 週，第一劑均於院內監測耐受性。</w:t>
      </w:r>
    </w:p>
    <w:p w14:paraId="678C72D7" w14:textId="77777777" w:rsidR="00792BD9" w:rsidRDefault="00000000">
      <w:pPr>
        <w:numPr>
          <w:ilvl w:val="0"/>
          <w:numId w:val="6"/>
        </w:numPr>
        <w:tabs>
          <w:tab w:val="left" w:pos="993"/>
        </w:tabs>
        <w:spacing w:before="60" w:after="60" w:line="360" w:lineRule="exact"/>
        <w:rPr>
          <w:rFonts w:ascii="標楷體" w:eastAsia="標楷體" w:hAnsi="標楷體" w:cs="標楷體"/>
          <w:sz w:val="28"/>
          <w:szCs w:val="28"/>
        </w:rPr>
      </w:pPr>
      <w:r>
        <w:rPr>
          <w:rFonts w:ascii="標楷體" w:eastAsia="標楷體" w:hAnsi="標楷體" w:cs="標楷體"/>
          <w:sz w:val="28"/>
          <w:szCs w:val="28"/>
        </w:rPr>
        <w:t>試驗期間的併用療法。長期巨環類抗生素、吸入型抗生素、支氣管擴張劑及其他依指引之維持治療均可持續使用；追蹤期間因臨床需要之治療升級皆允許，由主治醫師依常規</w:t>
        <w:lastRenderedPageBreak/>
        <w:t>處置，並前瞻性記錄兩組背景治療及其變更。</w:t>
      </w:r>
    </w:p>
    <w:p w14:paraId="121E7FEB" w14:textId="77777777" w:rsidR="00792BD9" w:rsidRDefault="00000000">
      <w:pPr>
        <w:numPr>
          <w:ilvl w:val="0"/>
          <w:numId w:val="6"/>
        </w:numPr>
        <w:tabs>
          <w:tab w:val="left" w:pos="993"/>
        </w:tabs>
        <w:spacing w:before="60" w:after="60" w:line="360" w:lineRule="exact"/>
        <w:rPr>
          <w:rFonts w:ascii="標楷體" w:eastAsia="標楷體" w:hAnsi="標楷體" w:cs="標楷體"/>
          <w:sz w:val="28"/>
          <w:szCs w:val="28"/>
        </w:rPr>
      </w:pPr>
      <w:r>
        <w:rPr>
          <w:rFonts w:ascii="標楷體" w:eastAsia="標楷體" w:hAnsi="標楷體" w:cs="標楷體"/>
          <w:sz w:val="28"/>
          <w:szCs w:val="28"/>
        </w:rPr>
        <w:t>試驗所要做之臨床觀察。肺功能（FEV1、FVC、FEV1/FVC）、痰液細菌及抗酸菌培養、生活品質問卷（QOL-B、BHQ、LCQ）、痰量與排痰難易度、治療日誌（順從性）、急性惡化與抗生素使用紀錄、不良事件；篩選時及第 52 週之常規血液常規及生化；同意者於同次常規抽血時多留取研究用血液 20 CC（兩次共 40 CC，不另行扎針），檢測發炎相關生物標記（如嗜中性球相關發炎指標等），不進行基因檢測。</w:t>
      </w:r>
    </w:p>
    <w:p w14:paraId="371E1DBC" w14:textId="77777777" w:rsidR="00792BD9" w:rsidRDefault="00000000">
      <w:pPr>
        <w:numPr>
          <w:ilvl w:val="0"/>
          <w:numId w:val="6"/>
        </w:numPr>
        <w:tabs>
          <w:tab w:val="left" w:pos="993"/>
        </w:tabs>
        <w:spacing w:before="60" w:after="60" w:line="360" w:lineRule="exact"/>
        <w:rPr>
          <w:rFonts w:ascii="標楷體" w:eastAsia="標楷體" w:hAnsi="標楷體" w:cs="標楷體"/>
          <w:sz w:val="28"/>
          <w:szCs w:val="28"/>
        </w:rPr>
      </w:pPr>
      <w:r>
        <w:rPr>
          <w:rFonts w:ascii="標楷體" w:eastAsia="標楷體" w:hAnsi="標楷體" w:cs="標楷體"/>
          <w:sz w:val="28"/>
          <w:szCs w:val="28"/>
        </w:rPr>
        <w:t>追蹤時間表：篩選 → 隨機分派（第 0 天）→ 第 2 週 → 第 1、3、6、9、12 個月回診（追蹤時間：第 1 個月 ±7 天、第 3、6、9、12 個月 ±14 天）；受試者完成第 52 週評估，或退出、失聯、死亡時停止追蹤。</w:t>
      </w:r>
    </w:p>
    <w:p w14:paraId="19677417" w14:textId="77777777" w:rsidR="00792BD9" w:rsidRDefault="00000000">
      <w:pPr>
        <w:numPr>
          <w:ilvl w:val="0"/>
          <w:numId w:val="6"/>
        </w:numPr>
        <w:tabs>
          <w:tab w:val="left" w:pos="993"/>
        </w:tabs>
        <w:spacing w:before="60" w:after="60" w:line="360" w:lineRule="exact"/>
        <w:rPr>
          <w:rFonts w:ascii="標楷體" w:eastAsia="標楷體" w:hAnsi="標楷體" w:cs="標楷體"/>
          <w:sz w:val="28"/>
          <w:szCs w:val="28"/>
        </w:rPr>
      </w:pPr>
      <w:r>
        <w:rPr>
          <w:rFonts w:ascii="標楷體" w:eastAsia="標楷體" w:hAnsi="標楷體" w:cs="標楷體"/>
          <w:sz w:val="28"/>
          <w:szCs w:val="28"/>
        </w:rPr>
        <w:t>主要療效或評估指標：</w:t>
      </w:r>
    </w:p>
    <w:p w14:paraId="30DD5213" w14:textId="77777777" w:rsidR="00792BD9" w:rsidRDefault="00000000">
      <w:pPr>
        <w:numPr>
          <w:ilvl w:val="0"/>
          <w:numId w:val="7"/>
        </w:numPr>
        <w:spacing w:before="60" w:after="60" w:line="360" w:lineRule="exact"/>
        <w:ind w:left="1418" w:hanging="425"/>
        <w:jc w:val="both"/>
        <w:rPr>
          <w:rFonts w:eastAsia="標楷體" w:cs="標楷體"/>
          <w:sz w:val="28"/>
          <w:szCs w:val="28"/>
        </w:rPr>
      </w:pPr>
      <w:r>
        <w:rPr>
          <w:rFonts w:eastAsia="標楷體" w:cs="標楷體"/>
          <w:sz w:val="28"/>
          <w:szCs w:val="28"/>
        </w:rPr>
        <w:t xml:space="preserve">主要療效指標為 52 週內至首次肺部急性惡化之時間。</w:t>
      </w:r>
    </w:p>
    <w:p w14:paraId="35A273D3" w14:textId="77777777" w:rsidR="00792BD9" w:rsidRDefault="00000000">
      <w:pPr>
        <w:numPr>
          <w:ilvl w:val="0"/>
          <w:numId w:val="7"/>
        </w:numPr>
        <w:spacing w:before="60" w:after="60" w:line="360" w:lineRule="exact"/>
        <w:ind w:left="1418" w:hanging="425"/>
        <w:jc w:val="both"/>
        <w:rPr>
          <w:rFonts w:eastAsia="標楷體" w:cs="標楷體"/>
          <w:sz w:val="28"/>
          <w:szCs w:val="28"/>
        </w:rPr>
      </w:pPr>
      <w:r>
        <w:rPr>
          <w:rFonts w:eastAsia="標楷體" w:cs="標楷體"/>
          <w:sz w:val="28"/>
          <w:szCs w:val="28"/>
        </w:rPr>
        <w:t xml:space="preserve">急性惡化定義採國際共識定義（Hill et al., 2017）：咳嗽、痰量及/或黏稠度、痰液膿性、喘或運動耐受度、疲倦/不適、咳血中 ≥3 項惡化持續 ≥48 小時，且臨床醫師決定需改變治療（通常為全身性抗生素），由不知分組之主治醫師判定並記錄。療效以 Cox 模型之風險比及 95% 信賴區間判定，雙尾 P&lt;0.05 視為有效。</w:t>
      </w:r>
    </w:p>
    <w:p w14:paraId="34424616" w14:textId="77777777" w:rsidR="00792BD9" w:rsidRDefault="00000000">
      <w:pPr>
        <w:tabs>
          <w:tab w:val="left" w:pos="567"/>
        </w:tabs>
        <w:spacing w:before="120" w:after="60" w:line="360" w:lineRule="exact"/>
        <w:ind w:left="567" w:hanging="567"/>
        <w:rPr>
          <w:rFonts w:ascii="標楷體" w:eastAsia="標楷體" w:hAnsi="標楷體" w:cs="標楷體"/>
          <w:sz w:val="28"/>
          <w:szCs w:val="28"/>
        </w:rPr>
      </w:pPr>
      <w:r>
        <w:rPr>
          <w:rFonts w:ascii="標楷體" w:eastAsia="標楷體" w:hAnsi="標楷體" w:cs="標楷體"/>
          <w:sz w:val="28"/>
          <w:szCs w:val="28"/>
        </w:rPr>
        <w:t>八、副作用處理：</w:t>
      </w:r>
    </w:p>
    <w:p w14:paraId="6D878B10" w14:textId="77777777" w:rsidR="00792BD9" w:rsidRDefault="00000000">
      <w:pPr>
        <w:numPr>
          <w:ilvl w:val="0"/>
          <w:numId w:val="2"/>
        </w:numPr>
        <w:tabs>
          <w:tab w:val="left" w:pos="993"/>
        </w:tabs>
        <w:spacing w:before="60" w:after="60" w:line="360" w:lineRule="exact"/>
        <w:rPr>
          <w:rFonts w:ascii="標楷體" w:eastAsia="標楷體" w:hAnsi="標楷體" w:cs="標楷體"/>
          <w:sz w:val="28"/>
          <w:szCs w:val="28"/>
        </w:rPr>
      </w:pPr>
      <w:r>
        <w:rPr>
          <w:rFonts w:ascii="標楷體" w:eastAsia="標楷體" w:hAnsi="標楷體" w:cs="標楷體"/>
          <w:sz w:val="28"/>
          <w:szCs w:val="28"/>
        </w:rPr>
        <w:t>副作用標準及發生率：高張食鹽水吸入可能引起咳嗽增加、咽喉刺激或鹹味（常見），胸悶、喘鳴或支氣管痙攣（偶見，多發生於吸入後短時間內），痰中帶血（少見）；ACBT 可能造成暫時性疲倦、頭暈或喘；研究用血液於常規抽血時多留取，不另行扎針，可能使穿刺部位疼痛或瘀青稍增加。不良事件依嚴重程度及與研究治療之相關性分級記錄。</w:t>
      </w:r>
    </w:p>
    <w:p w14:paraId="03EED330" w14:textId="77777777" w:rsidR="00792BD9" w:rsidRDefault="00000000">
      <w:pPr>
        <w:numPr>
          <w:ilvl w:val="0"/>
          <w:numId w:val="2"/>
        </w:numPr>
        <w:tabs>
          <w:tab w:val="left" w:pos="993"/>
        </w:tabs>
        <w:spacing w:before="60" w:after="60" w:line="360" w:lineRule="exact"/>
        <w:rPr>
          <w:rFonts w:ascii="標楷體" w:eastAsia="標楷體" w:hAnsi="標楷體" w:cs="標楷體"/>
          <w:sz w:val="28"/>
          <w:szCs w:val="28"/>
        </w:rPr>
      </w:pPr>
      <w:r>
        <w:rPr>
          <w:rFonts w:ascii="標楷體" w:eastAsia="標楷體" w:hAnsi="標楷體" w:cs="標楷體"/>
          <w:sz w:val="28"/>
          <w:szCs w:val="28"/>
        </w:rPr>
        <w:t>回報方式：研究團隊於每次回診時主動詢問並記錄不良事件；嚴重不良事件及非預期問題依臺北榮民總醫院人體試驗委員會規定之時限及程序通報。受試者可隨時以 24 小時緊急聯絡電話聯絡計畫主持人。</w:t>
      </w:r>
    </w:p>
    <w:p w14:paraId="7C287AFA" w14:textId="77777777" w:rsidR="00792BD9" w:rsidRDefault="00000000">
      <w:pPr>
        <w:numPr>
          <w:ilvl w:val="0"/>
          <w:numId w:val="2"/>
        </w:numPr>
        <w:tabs>
          <w:tab w:val="left" w:pos="993"/>
        </w:tabs>
        <w:spacing w:before="60" w:after="60" w:line="360" w:lineRule="exact"/>
        <w:rPr>
          <w:rFonts w:ascii="標楷體" w:eastAsia="標楷體" w:hAnsi="標楷體" w:cs="標楷體"/>
          <w:sz w:val="28"/>
          <w:szCs w:val="28"/>
        </w:rPr>
      </w:pPr>
      <w:r>
        <w:rPr>
          <w:rFonts w:ascii="標楷體" w:eastAsia="標楷體" w:hAnsi="標楷體" w:cs="標楷體"/>
          <w:sz w:val="28"/>
          <w:szCs w:val="28"/>
        </w:rPr>
        <w:t>處理方式：第一劑於院內監測，若吸入後 PEF 較吸入前下降 ≥20%，或出現明顯喘鳴、胸悶、呼吸困難，或血氧飽和度下降 ≥4% 或低於 90%，即停止該次霧化治療並立即給予短效支氣管擴張劑等必要處置，並由醫師評估是否以</w:t>
        <w:lastRenderedPageBreak/>
        <w:t>短效支氣管擴張劑前置後再嘗試或停止霧化治療；追蹤期間發生之不良事件或急性惡化，依常規臨床準則給予必要之醫療處置或急診照護。</w:t>
      </w:r>
    </w:p>
    <w:p w14:paraId="3802BEE8" w14:textId="77777777" w:rsidR="00792BD9" w:rsidRDefault="00000000">
      <w:pPr>
        <w:tabs>
          <w:tab w:val="left" w:pos="567"/>
        </w:tabs>
        <w:spacing w:before="120" w:after="60" w:line="360" w:lineRule="exact"/>
        <w:ind w:left="567" w:hanging="567"/>
        <w:rPr>
          <w:rFonts w:ascii="標楷體" w:eastAsia="標楷體" w:hAnsi="標楷體" w:cs="標楷體"/>
          <w:sz w:val="28"/>
          <w:szCs w:val="28"/>
        </w:rPr>
      </w:pPr>
      <w:r>
        <w:rPr>
          <w:rFonts w:ascii="標楷體" w:eastAsia="標楷體" w:hAnsi="標楷體" w:cs="標楷體"/>
          <w:sz w:val="28"/>
          <w:szCs w:val="28"/>
        </w:rPr>
        <w:t>九、受試者權益：</w:t>
      </w:r>
    </w:p>
    <w:p w14:paraId="5C62AE4F" w14:textId="77777777" w:rsidR="00792BD9" w:rsidRDefault="00000000">
      <w:pPr>
        <w:numPr>
          <w:ilvl w:val="0"/>
          <w:numId w:val="4"/>
        </w:numPr>
        <w:tabs>
          <w:tab w:val="left" w:pos="993"/>
        </w:tabs>
        <w:spacing w:before="60" w:after="60" w:line="360" w:lineRule="exact"/>
        <w:rPr>
          <w:rFonts w:ascii="標楷體" w:eastAsia="標楷體" w:hAnsi="標楷體" w:cs="標楷體"/>
          <w:sz w:val="28"/>
          <w:szCs w:val="28"/>
        </w:rPr>
      </w:pPr>
      <w:r>
        <w:rPr>
          <w:rFonts w:ascii="標楷體" w:eastAsia="標楷體" w:hAnsi="標楷體" w:cs="標楷體"/>
          <w:sz w:val="28"/>
          <w:szCs w:val="28"/>
        </w:rPr>
        <w:t>安全維護及保險事宜。研究團隊於每次回診時監測不良事件，第一劑於院內監測耐受性；本研究未投保人體試驗責任保險，如依本計畫發生不良反應或傷害，由臺北榮民總醫院負補償責任。</w:t>
      </w:r>
    </w:p>
    <w:p w14:paraId="50C5F958" w14:textId="77777777" w:rsidR="00792BD9" w:rsidRDefault="00000000">
      <w:pPr>
        <w:numPr>
          <w:ilvl w:val="0"/>
          <w:numId w:val="4"/>
        </w:numPr>
        <w:tabs>
          <w:tab w:val="left" w:pos="993"/>
        </w:tabs>
        <w:spacing w:before="60" w:after="60" w:line="360" w:lineRule="exact"/>
        <w:rPr>
          <w:rFonts w:ascii="標楷體" w:eastAsia="標楷體" w:hAnsi="標楷體" w:cs="標楷體"/>
          <w:sz w:val="28"/>
          <w:szCs w:val="28"/>
        </w:rPr>
      </w:pPr>
      <w:r>
        <w:rPr>
          <w:rFonts w:ascii="標楷體" w:eastAsia="標楷體" w:hAnsi="標楷體" w:cs="標楷體"/>
          <w:sz w:val="28"/>
          <w:szCs w:val="28"/>
        </w:rPr>
        <w:t>特殊事項與其他。受試者不需負擔任何研究相關費用，本研究不提供補助或禮品；研究用血液及剩餘檢體保存均為選擇性項目，受試者可自行決定，不影響參與本研究；受試者可隨時退出而不影響其醫療權益。</w:t>
      </w:r>
    </w:p>
    <w:p w14:paraId="55FB8D58" w14:textId="77777777" w:rsidR="00792BD9" w:rsidRDefault="00000000">
      <w:pPr>
        <w:tabs>
          <w:tab w:val="left" w:pos="567"/>
        </w:tabs>
        <w:spacing w:before="120" w:after="60" w:line="360" w:lineRule="exact"/>
        <w:ind w:left="567" w:hanging="567"/>
        <w:rPr>
          <w:rFonts w:ascii="標楷體" w:eastAsia="標楷體" w:hAnsi="標楷體" w:cs="標楷體"/>
          <w:sz w:val="28"/>
          <w:szCs w:val="28"/>
        </w:rPr>
      </w:pPr>
      <w:r>
        <w:rPr>
          <w:rFonts w:ascii="標楷體" w:eastAsia="標楷體" w:hAnsi="標楷體" w:cs="標楷體"/>
          <w:sz w:val="28"/>
          <w:szCs w:val="28"/>
        </w:rPr>
        <w:t>十、統計分析：</w:t>
      </w:r>
    </w:p>
    <w:p w14:paraId="2E6A43C9" w14:textId="77777777" w:rsidR="00792BD9" w:rsidRDefault="00000000">
      <w:pPr>
        <w:numPr>
          <w:ilvl w:val="0"/>
          <w:numId w:val="1"/>
        </w:numPr>
        <w:tabs>
          <w:tab w:val="left" w:pos="993"/>
        </w:tabs>
        <w:spacing w:before="60" w:after="60" w:line="360" w:lineRule="exact"/>
        <w:ind w:left="2410" w:hanging="1843"/>
        <w:rPr>
          <w:rFonts w:ascii="標楷體" w:eastAsia="標楷體" w:hAnsi="標楷體" w:cs="標楷體"/>
          <w:sz w:val="28"/>
          <w:szCs w:val="28"/>
        </w:rPr>
      </w:pPr>
      <w:r>
        <w:rPr>
          <w:rFonts w:ascii="標楷體" w:eastAsia="標楷體" w:hAnsi="標楷體" w:cs="標楷體"/>
          <w:sz w:val="28"/>
          <w:szCs w:val="28"/>
        </w:rPr>
        <w:t>描述統計：基本特徵以平均值 ± 標準差、中位數（四分位距）或人數（百分比）呈現；主要指標以 Kaplan–Meier 曲線描述兩組累積急性惡化發生率，並呈現兩組 52 週首次急性惡化比例之差異幅度。</w:t>
      </w:r>
    </w:p>
    <w:p w14:paraId="3DB72F31" w14:textId="77777777" w:rsidR="00792BD9" w:rsidRDefault="00000000">
      <w:pPr>
        <w:numPr>
          <w:ilvl w:val="0"/>
          <w:numId w:val="1"/>
        </w:numPr>
        <w:tabs>
          <w:tab w:val="left" w:pos="993"/>
        </w:tabs>
        <w:spacing w:before="60" w:after="60" w:line="360" w:lineRule="exact"/>
        <w:ind w:left="2410" w:hanging="1843"/>
        <w:rPr>
          <w:rFonts w:ascii="標楷體" w:eastAsia="標楷體" w:hAnsi="標楷體" w:cs="標楷體"/>
          <w:sz w:val="28"/>
          <w:szCs w:val="28"/>
        </w:rPr>
      </w:pPr>
      <w:r>
        <w:rPr>
          <w:rFonts w:ascii="標楷體" w:eastAsia="標楷體" w:hAnsi="標楷體" w:cs="標楷體"/>
          <w:sz w:val="28"/>
          <w:szCs w:val="28"/>
        </w:rPr>
        <w:t>推論統計：主要分析採意圖治療原則，以 log-rank 檢定及依分層因子調整之 Cox 比例風險模型估計風險比（HR）及 95% 信賴區間；年化急性惡化率以負二項迴歸、比例以邏輯斯迴歸、重複測量連續變項以線性混合模型分析；另以符合計畫書族群進行敏感度分析。</w:t>
      </w:r>
    </w:p>
    <w:p w14:paraId="379A34FB" w14:textId="77777777" w:rsidR="00792BD9" w:rsidRDefault="00000000">
      <w:pPr>
        <w:numPr>
          <w:ilvl w:val="0"/>
          <w:numId w:val="1"/>
        </w:numPr>
        <w:tabs>
          <w:tab w:val="left" w:pos="993"/>
        </w:tabs>
        <w:spacing w:before="60" w:after="60" w:line="360" w:lineRule="exact"/>
        <w:ind w:left="2410" w:hanging="1843"/>
        <w:rPr>
          <w:rFonts w:ascii="標楷體" w:eastAsia="標楷體" w:hAnsi="標楷體" w:cs="標楷體"/>
          <w:sz w:val="28"/>
          <w:szCs w:val="28"/>
        </w:rPr>
      </w:pPr>
      <w:r>
        <w:rPr>
          <w:rFonts w:ascii="標楷體" w:eastAsia="標楷體" w:hAnsi="標楷體" w:cs="標楷體"/>
          <w:sz w:val="28"/>
          <w:szCs w:val="28"/>
        </w:rPr>
        <w:t>期間分析：否。</w:t>
      </w:r>
    </w:p>
    <w:p w14:paraId="31EF5448" w14:textId="77777777" w:rsidR="00792BD9" w:rsidRDefault="00000000">
      <w:pPr>
        <w:tabs>
          <w:tab w:val="left" w:pos="567"/>
        </w:tabs>
        <w:spacing w:before="120" w:after="60" w:line="360" w:lineRule="exact"/>
        <w:ind w:left="567" w:hanging="567"/>
        <w:rPr>
          <w:rFonts w:ascii="標楷體" w:eastAsia="標楷體" w:hAnsi="標楷體" w:cs="標楷體"/>
          <w:sz w:val="28"/>
          <w:szCs w:val="28"/>
        </w:rPr>
      </w:pPr>
      <w:r>
        <w:rPr>
          <w:rFonts w:ascii="標楷體" w:eastAsia="標楷體" w:hAnsi="標楷體" w:cs="標楷體"/>
          <w:sz w:val="28"/>
          <w:szCs w:val="28"/>
        </w:rPr>
        <w:t>十一、研究結束後資料處理方法：</w:t>
      </w:r>
    </w:p>
    <w:p w14:paraId="4581127E" w14:textId="77777777" w:rsidR="00792BD9" w:rsidRDefault="00000000">
      <w:pPr>
        <w:numPr>
          <w:ilvl w:val="0"/>
          <w:numId w:val="5"/>
        </w:numPr>
        <w:tabs>
          <w:tab w:val="left" w:pos="993"/>
        </w:tabs>
        <w:spacing w:before="60" w:after="60" w:line="360" w:lineRule="exact"/>
        <w:ind w:left="993" w:hanging="426"/>
        <w:rPr>
          <w:rFonts w:eastAsia="標楷體"/>
          <w:sz w:val="28"/>
          <w:szCs w:val="28"/>
        </w:rPr>
      </w:pPr>
      <w:r>
        <w:rPr>
          <w:rFonts w:eastAsia="標楷體"/>
          <w:sz w:val="28"/>
          <w:szCs w:val="28"/>
        </w:rPr>
        <w:t>保存者：計畫主持人張芝榕。</w:t>
      </w:r>
    </w:p>
    <w:p w14:paraId="03AF386E" w14:textId="77777777" w:rsidR="00792BD9" w:rsidRDefault="00000000">
      <w:pPr>
        <w:numPr>
          <w:ilvl w:val="0"/>
          <w:numId w:val="5"/>
        </w:numPr>
        <w:tabs>
          <w:tab w:val="left" w:pos="993"/>
        </w:tabs>
        <w:spacing w:before="60" w:after="60" w:line="360" w:lineRule="exact"/>
        <w:ind w:left="993" w:hanging="426"/>
        <w:rPr>
          <w:rFonts w:eastAsia="標楷體"/>
          <w:sz w:val="28"/>
          <w:szCs w:val="28"/>
        </w:rPr>
      </w:pPr>
      <w:r>
        <w:rPr>
          <w:rFonts w:eastAsia="標楷體"/>
          <w:sz w:val="28"/>
          <w:szCs w:val="28"/>
        </w:rPr>
        <w:t>保存地點與機密性維護方式：</w:t>
      </w:r>
    </w:p>
    <w:p w14:paraId="74148077" w14:textId="77777777" w:rsidR="00792BD9" w:rsidRDefault="00000000">
      <w:pPr>
        <w:tabs>
          <w:tab w:val="left" w:pos="142"/>
        </w:tabs>
        <w:spacing w:before="60" w:after="60" w:line="360" w:lineRule="exact"/>
        <w:ind w:left="567"/>
        <w:rPr>
          <w:rFonts w:ascii="標楷體" w:eastAsia="標楷體" w:hAnsi="標楷體" w:cs="標楷體"/>
          <w:sz w:val="28"/>
          <w:szCs w:val="28"/>
        </w:rPr>
      </w:pPr>
      <w:r>
        <w:rPr>
          <w:rFonts w:ascii="標楷體" w:eastAsia="標楷體" w:hAnsi="標楷體" w:cs="標楷體"/>
          <w:sz w:val="28"/>
          <w:szCs w:val="28"/>
        </w:rPr>
        <w:t>研究資料保存於臺北榮民總醫院胸腔部研究室（上鎖），電腦以密碼保護，可識別身分之個資以代碼加密，資料僅限研究人員存取，不對外傳輸；所有研究人員完成病歷隱私保護訓練並簽署保密聲明。</w:t>
      </w:r>
    </w:p>
    <w:p w14:paraId="51915163" w14:textId="77777777" w:rsidR="00792BD9" w:rsidRDefault="00000000">
      <w:pPr>
        <w:numPr>
          <w:ilvl w:val="0"/>
          <w:numId w:val="5"/>
        </w:numPr>
        <w:tabs>
          <w:tab w:val="left" w:pos="993"/>
        </w:tabs>
        <w:spacing w:before="60" w:after="60" w:line="360" w:lineRule="exact"/>
        <w:ind w:left="993" w:hanging="426"/>
        <w:rPr>
          <w:rFonts w:eastAsia="標楷體"/>
          <w:sz w:val="28"/>
          <w:szCs w:val="28"/>
        </w:rPr>
      </w:pPr>
      <w:r>
        <w:rPr>
          <w:rFonts w:eastAsia="標楷體"/>
          <w:sz w:val="28"/>
          <w:szCs w:val="28"/>
        </w:rPr>
        <w:t xml:space="preserve">資料保存期限：研究資料於研究結束後 15 年由計畫主持人負責銷毀。研究收集之臨床資料未來若需提供給第三方進行學術交流，或是登錄於公開的研究資料庫中，皆嚴格規定僅能以去識別化的「匿名形式」進行處理與分享。</w:t>
      </w:r>
    </w:p>
    <w:p w14:paraId="4EEC1C0E" w14:textId="77777777" w:rsidR="00792BD9" w:rsidRDefault="00000000">
      <w:pPr>
        <w:tabs>
          <w:tab w:val="left" w:pos="567"/>
        </w:tabs>
        <w:spacing w:before="120" w:after="60" w:line="360" w:lineRule="exact"/>
        <w:ind w:left="567" w:hanging="567"/>
        <w:rPr>
          <w:rFonts w:ascii="標楷體" w:eastAsia="標楷體" w:hAnsi="標楷體" w:cs="標楷體"/>
          <w:sz w:val="28"/>
          <w:szCs w:val="28"/>
        </w:rPr>
      </w:pPr>
      <w:r>
        <w:rPr>
          <w:rFonts w:ascii="標楷體" w:eastAsia="標楷體" w:hAnsi="標楷體" w:cs="標楷體"/>
          <w:sz w:val="28"/>
          <w:szCs w:val="28"/>
        </w:rPr>
        <w:lastRenderedPageBreak/>
        <w:t>十二、研究結束後檢體處理方法：研究用血液檢體（選擇性）經分離血清/血漿後，儲存於臺北榮民總醫院中正樓 14 樓胸腔部研究室之 -80°C 冰箱保存 20 年，於保存期限屆滿時，由計畫主持人負責銷毀。經受試者同意者，剩餘檢體可供未來支氣管擴張症及相關慢性呼吸道疾病研究使用，惟須另經本院人體試驗委員會審查通過。</w:t>
      </w:r>
    </w:p>
    <w:p w14:paraId="52FD1DCD" w14:textId="77777777" w:rsidR="00792BD9" w:rsidRDefault="00000000">
      <w:pPr>
        <w:tabs>
          <w:tab w:val="left" w:pos="567"/>
        </w:tabs>
        <w:spacing w:before="120" w:after="60" w:line="360" w:lineRule="exact"/>
        <w:ind w:left="567" w:hanging="567"/>
        <w:rPr>
          <w:rFonts w:ascii="標楷體" w:eastAsia="標楷體" w:hAnsi="標楷體" w:cs="標楷體"/>
          <w:sz w:val="28"/>
          <w:szCs w:val="28"/>
        </w:rPr>
      </w:pPr>
      <w:r>
        <w:rPr>
          <w:rFonts w:ascii="標楷體" w:eastAsia="標楷體" w:hAnsi="標楷體" w:cs="標楷體"/>
          <w:sz w:val="28"/>
          <w:szCs w:val="28"/>
        </w:rPr>
        <w:t>十三、附錄</w:t>
      </w:r>
    </w:p>
    <w:p w14:paraId="536D1DB5" w14:textId="77777777" w:rsidR="00792BD9" w:rsidRDefault="00000000">
      <w:pPr>
        <w:tabs>
          <w:tab w:val="left" w:pos="142"/>
        </w:tabs>
        <w:spacing w:before="60" w:after="60" w:line="360" w:lineRule="exact"/>
        <w:ind w:left="567"/>
        <w:rPr>
          <w:rFonts w:ascii="標楷體" w:eastAsia="標楷體" w:hAnsi="標楷體" w:cs="標楷體"/>
          <w:sz w:val="28"/>
          <w:szCs w:val="28"/>
        </w:rPr>
      </w:pPr>
      <w:r>
        <w:rPr>
          <w:rFonts w:ascii="標楷體" w:eastAsia="標楷體" w:hAnsi="標楷體" w:cs="標楷體"/>
          <w:sz w:val="28"/>
          <w:szCs w:val="28"/>
        </w:rPr>
        <w:t>無</w:t>
      </w:r>
    </w:p>
    <w:sectPr w:rsidR="00792BD9">
      <w:headerReference w:type="default" r:id="rId7"/>
      <w:footerReference w:type="default" r:id="rId8"/>
      <w:footerReference w:type="first" r:id="rId9"/>
      <w:pgSz w:w="11906" w:h="16838"/>
      <w:pgMar w:top="1134" w:right="1797" w:bottom="1134" w:left="1797" w:header="851" w:footer="992" w:gutter="0"/>
      <w:cols w:space="720"/>
      <w:formProt w:val="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70502" w14:textId="77777777" w:rsidR="00B12B99" w:rsidRDefault="00B12B99">
      <w:r>
        <w:separator/>
      </w:r>
    </w:p>
  </w:endnote>
  <w:endnote w:type="continuationSeparator" w:id="0">
    <w:p w14:paraId="42EEB859" w14:textId="77777777" w:rsidR="00B12B99" w:rsidRDefault="00B12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新細明體">
    <w:altName w:val="PMingLiU"/>
    <w:panose1 w:val="02020500000000000000"/>
    <w:charset w:val="88"/>
    <w:family w:val="roman"/>
    <w:pitch w:val="variable"/>
    <w:sig w:usb0="A00002FF" w:usb1="28CFFCFA" w:usb2="00000016" w:usb3="00000000" w:csb0="00100001" w:csb1="00000000"/>
  </w:font>
  <w:font w:name="FreeSans">
    <w:panose1 w:val="00000000000000000000"/>
    <w:charset w:val="00"/>
    <w:family w:val="roman"/>
    <w:notTrueType/>
    <w:pitch w:val="default"/>
  </w:font>
  <w:font w:name="新細明體;PMingLiU">
    <w:altName w:val="新細明體"/>
    <w:panose1 w:val="00000000000000000000"/>
    <w:charset w:val="88"/>
    <w:family w:val="roman"/>
    <w:notTrueType/>
    <w:pitch w:val="default"/>
  </w:font>
  <w:font w:name="Calibri">
    <w:panose1 w:val="020F0502020204030204"/>
    <w:charset w:val="00"/>
    <w:family w:val="swiss"/>
    <w:pitch w:val="variable"/>
    <w:sig w:usb0="E5002EFF" w:usb1="C200ACFF" w:usb2="00000009" w:usb3="00000000" w:csb0="000001FF" w:csb1="00000000"/>
  </w:font>
  <w:font w:name="Liberation Sans">
    <w:altName w:val="Arial"/>
    <w:charset w:val="00"/>
    <w:family w:val="swiss"/>
    <w:pitch w:val="variable"/>
  </w:font>
  <w:font w:name="WenQuanYi Zen Hei">
    <w:panose1 w:val="00000000000000000000"/>
    <w:charset w:val="00"/>
    <w:family w:val="roman"/>
    <w:notTrueType/>
    <w:pitch w:val="default"/>
  </w:font>
  <w:font w:name="華康隸書體;細明體">
    <w:panose1 w:val="00000000000000000000"/>
    <w:charset w:val="88"/>
    <w:family w:val="roman"/>
    <w:notTrueType/>
    <w:pitch w:val="default"/>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7BFB9" w14:textId="77777777" w:rsidR="00792BD9" w:rsidRDefault="00000000">
    <w:pPr>
      <w:pStyle w:val="ad"/>
      <w:spacing w:after="120"/>
      <w:jc w:val="both"/>
      <w:rPr>
        <w:rFonts w:eastAsia="標楷體"/>
        <w:color w:val="FF0000"/>
      </w:rPr>
    </w:pPr>
    <w:r>
      <w:rPr>
        <w:rFonts w:eastAsia="標楷體"/>
        <w:color w:val="FF0000"/>
      </w:rPr>
      <w:t>版本日期：【版本</w:t>
    </w:r>
    <w:r>
      <w:rPr>
        <w:rFonts w:eastAsia="標楷體"/>
        <w:color w:val="FF0000"/>
      </w:rPr>
      <w:t>1</w:t>
    </w:r>
    <w:r>
      <w:rPr>
        <w:rFonts w:eastAsia="標楷體"/>
        <w:color w:val="FF0000"/>
      </w:rPr>
      <w:t>，日期：</w:t>
    </w:r>
    <w:r>
      <w:rPr>
        <w:rFonts w:eastAsia="標楷體"/>
        <w:color w:val="FF0000"/>
      </w:rPr>
      <w:t>2026/9/28</w:t>
    </w:r>
    <w:r>
      <w:rPr>
        <w:rFonts w:eastAsia="標楷體"/>
        <w:color w:val="FF0000"/>
      </w:rPr>
      <w:t>】</w:t>
    </w:r>
  </w:p>
  <w:p w14:paraId="0522E3FE" w14:textId="77777777" w:rsidR="00792BD9" w:rsidRDefault="00000000">
    <w:pPr>
      <w:pStyle w:val="ad"/>
      <w:jc w:val="right"/>
    </w:pPr>
    <w:r>
      <w:fldChar w:fldCharType="begin"/>
    </w:r>
    <w:r>
      <w:instrText xml:space="preserve"> PAGE </w:instrText>
    </w:r>
    <w:r>
      <w:fldChar w:fldCharType="separate"/>
    </w:r>
    <w:r>
      <w:t>4</w:t>
    </w:r>
    <w:r>
      <w:fldChar w:fldCharType="end"/>
    </w:r>
  </w:p>
  <w:p w14:paraId="26913B33" w14:textId="77777777" w:rsidR="00792BD9" w:rsidRDefault="00792BD9">
    <w:pPr>
      <w:pStyle w:val="ad"/>
      <w:ind w:firstLine="360"/>
      <w:jc w:val="center"/>
      <w:rPr>
        <w:rFonts w:eastAsia="標楷體"/>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1E8F9" w14:textId="77777777" w:rsidR="00792BD9" w:rsidRDefault="00792BD9">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9575A" w14:textId="77777777" w:rsidR="00B12B99" w:rsidRDefault="00B12B99">
      <w:r>
        <w:separator/>
      </w:r>
    </w:p>
  </w:footnote>
  <w:footnote w:type="continuationSeparator" w:id="0">
    <w:p w14:paraId="3550E03C" w14:textId="77777777" w:rsidR="00B12B99" w:rsidRDefault="00B12B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B8ED8" w14:textId="77777777" w:rsidR="00792BD9" w:rsidRDefault="00000000">
    <w:pPr>
      <w:pStyle w:val="ac"/>
      <w:ind w:right="400"/>
    </w:pPr>
    <w:r>
      <w:rPr>
        <w:b/>
        <w:bCs/>
      </w:rPr>
      <w:t>IRB -TPEVGH SOP 05-01</w:t>
    </w:r>
    <w:r>
      <w:rPr>
        <w:rFonts w:eastAsia="標楷體"/>
        <w:b/>
        <w:bCs/>
        <w:color w:val="FF0000"/>
      </w:rPr>
      <w:t xml:space="preserve">-20250520 </w:t>
    </w:r>
    <w:r>
      <w:rPr>
        <w:rFonts w:eastAsia="標楷體"/>
        <w:b/>
        <w:bCs/>
      </w:rPr>
      <w:t>附表</w:t>
    </w:r>
    <w:r>
      <w:rPr>
        <w:rFonts w:eastAsia="標楷體"/>
        <w:b/>
        <w:bCs/>
      </w:rPr>
      <w:t xml:space="preserve">4-1 </w:t>
    </w:r>
    <w:r>
      <w:rPr>
        <w:rFonts w:eastAsia="標楷體"/>
        <w:b/>
        <w:bCs/>
      </w:rPr>
      <w:t>中文計畫書摘要</w:t>
    </w:r>
    <w:r>
      <w:rPr>
        <w:rFonts w:eastAsia="標楷體"/>
        <w:b/>
        <w:bCs/>
      </w:rPr>
      <w:t>-</w:t>
    </w:r>
    <w:r>
      <w:rPr>
        <w:rFonts w:eastAsia="標楷體"/>
        <w:b/>
        <w:bCs/>
      </w:rPr>
      <w:t>版本</w:t>
    </w:r>
    <w:r>
      <w:rPr>
        <w:rFonts w:eastAsia="標楷體"/>
        <w:b/>
        <w:bCs/>
        <w:color w:val="FF0000"/>
      </w:rPr>
      <w:t>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4F35"/>
    <w:multiLevelType w:val="multilevel"/>
    <w:tmpl w:val="E88A9B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DA465BD"/>
    <w:multiLevelType w:val="multilevel"/>
    <w:tmpl w:val="99E096BA"/>
    <w:lvl w:ilvl="0">
      <w:start w:val="1"/>
      <w:numFmt w:val="decimal"/>
      <w:lvlText w:val="%1."/>
      <w:lvlJc w:val="left"/>
      <w:pPr>
        <w:tabs>
          <w:tab w:val="num" w:pos="0"/>
        </w:tabs>
        <w:ind w:left="480" w:hanging="480"/>
      </w:pPr>
      <w:rPr>
        <w:rFonts w:ascii="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1160866"/>
    <w:multiLevelType w:val="multilevel"/>
    <w:tmpl w:val="A028B246"/>
    <w:lvl w:ilvl="0">
      <w:start w:val="1"/>
      <w:numFmt w:val="decimal"/>
      <w:lvlText w:val="%1."/>
      <w:lvlJc w:val="left"/>
      <w:pPr>
        <w:tabs>
          <w:tab w:val="num" w:pos="0"/>
        </w:tabs>
        <w:ind w:left="1287" w:hanging="720"/>
      </w:pPr>
      <w:rPr>
        <w:rFonts w:ascii="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50D6FA4"/>
    <w:multiLevelType w:val="multilevel"/>
    <w:tmpl w:val="902C8AE2"/>
    <w:lvl w:ilvl="0">
      <w:start w:val="1"/>
      <w:numFmt w:val="decimal"/>
      <w:lvlText w:val="%1."/>
      <w:lvlJc w:val="left"/>
      <w:pPr>
        <w:tabs>
          <w:tab w:val="num" w:pos="0"/>
        </w:tabs>
        <w:ind w:left="1287" w:hanging="720"/>
      </w:pPr>
      <w:rPr>
        <w:rFonts w:ascii="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EA46065"/>
    <w:multiLevelType w:val="multilevel"/>
    <w:tmpl w:val="9E5CD5AE"/>
    <w:lvl w:ilvl="0">
      <w:start w:val="1"/>
      <w:numFmt w:val="decimal"/>
      <w:lvlText w:val="%1."/>
      <w:lvlJc w:val="left"/>
      <w:pPr>
        <w:tabs>
          <w:tab w:val="num" w:pos="0"/>
        </w:tabs>
        <w:ind w:left="1287" w:hanging="720"/>
      </w:pPr>
      <w:rPr>
        <w:rFonts w:ascii="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0223928"/>
    <w:multiLevelType w:val="multilevel"/>
    <w:tmpl w:val="C9B4A218"/>
    <w:lvl w:ilvl="0">
      <w:start w:val="1"/>
      <w:numFmt w:val="decimal"/>
      <w:lvlText w:val="%1."/>
      <w:lvlJc w:val="left"/>
      <w:pPr>
        <w:tabs>
          <w:tab w:val="num" w:pos="0"/>
        </w:tabs>
        <w:ind w:left="1287" w:hanging="720"/>
      </w:pPr>
      <w:rPr>
        <w:rFonts w:ascii="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A127042"/>
    <w:multiLevelType w:val="multilevel"/>
    <w:tmpl w:val="CC60156E"/>
    <w:lvl w:ilvl="0">
      <w:start w:val="1"/>
      <w:numFmt w:val="decimal"/>
      <w:lvlText w:val="(%1)"/>
      <w:lvlJc w:val="left"/>
      <w:pPr>
        <w:tabs>
          <w:tab w:val="num" w:pos="0"/>
        </w:tabs>
        <w:ind w:left="1548" w:hanging="480"/>
      </w:pPr>
      <w:rPr>
        <w:b w:val="0"/>
        <w:i w:val="0"/>
        <w:sz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ACE1FDD"/>
    <w:multiLevelType w:val="multilevel"/>
    <w:tmpl w:val="2C7049F0"/>
    <w:lvl w:ilvl="0">
      <w:start w:val="1"/>
      <w:numFmt w:val="decimal"/>
      <w:lvlText w:val="%1."/>
      <w:lvlJc w:val="left"/>
      <w:pPr>
        <w:tabs>
          <w:tab w:val="num" w:pos="0"/>
        </w:tabs>
        <w:ind w:left="1287" w:hanging="720"/>
      </w:pPr>
      <w:rPr>
        <w:rFonts w:ascii="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EEA57D8"/>
    <w:multiLevelType w:val="multilevel"/>
    <w:tmpl w:val="33E655DE"/>
    <w:lvl w:ilvl="0">
      <w:start w:val="1"/>
      <w:numFmt w:val="decimal"/>
      <w:lvlText w:val="%1."/>
      <w:lvlJc w:val="left"/>
      <w:pPr>
        <w:tabs>
          <w:tab w:val="num" w:pos="0"/>
        </w:tabs>
        <w:ind w:left="1287" w:hanging="720"/>
      </w:pPr>
      <w:rPr>
        <w:rFonts w:ascii="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74320334">
    <w:abstractNumId w:val="8"/>
  </w:num>
  <w:num w:numId="2" w16cid:durableId="1133868904">
    <w:abstractNumId w:val="2"/>
  </w:num>
  <w:num w:numId="3" w16cid:durableId="305741875">
    <w:abstractNumId w:val="1"/>
  </w:num>
  <w:num w:numId="4" w16cid:durableId="1938370021">
    <w:abstractNumId w:val="4"/>
  </w:num>
  <w:num w:numId="5" w16cid:durableId="458187665">
    <w:abstractNumId w:val="5"/>
  </w:num>
  <w:num w:numId="6" w16cid:durableId="1519808498">
    <w:abstractNumId w:val="7"/>
  </w:num>
  <w:num w:numId="7" w16cid:durableId="731658370">
    <w:abstractNumId w:val="6"/>
  </w:num>
  <w:num w:numId="8" w16cid:durableId="1060715793">
    <w:abstractNumId w:val="3"/>
  </w:num>
  <w:num w:numId="9" w16cid:durableId="1605070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80"/>
  <w:autoHyphenation/>
  <w:characterSpacingControl w:val="doNotCompress"/>
  <w:footnotePr>
    <w:footnote w:id="-1"/>
    <w:footnote w:id="0"/>
  </w:footnotePr>
  <w:endnotePr>
    <w:endnote w:id="-1"/>
    <w:endnote w:id="0"/>
  </w:endnotePr>
  <w:compat>
    <w:noLeading/>
    <w:doNotExpandShiftReturn/>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2BD9"/>
    <w:rsid w:val="00433634"/>
    <w:rsid w:val="004C0187"/>
    <w:rsid w:val="00792BD9"/>
    <w:rsid w:val="00B12B99"/>
    <w:rsid w:val="00DD14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6607"/>
  <w15:docId w15:val="{9545BF44-748B-49CA-B033-C858631CE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新細明體" w:hAnsi="Liberation Serif" w:cs="FreeSans"/>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pPr>
    <w:rPr>
      <w:rFonts w:ascii="Times New Roman" w:eastAsia="新細明體;PMingLiU" w:hAnsi="Times New Roman" w:cs="Times New Roman"/>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b w:val="0"/>
      <w:i w:val="0"/>
      <w:sz w:val="24"/>
    </w:rPr>
  </w:style>
  <w:style w:type="character" w:customStyle="1" w:styleId="WW8Num2z0">
    <w:name w:val="WW8Num2z0"/>
    <w:qFormat/>
    <w:rPr>
      <w:rFonts w:ascii="Times New Roman" w:hAnsi="Times New Roman" w:cs="Times New Roman"/>
    </w:rPr>
  </w:style>
  <w:style w:type="character" w:customStyle="1" w:styleId="WW8Num3z0">
    <w:name w:val="WW8Num3z0"/>
    <w:qFormat/>
    <w:rPr>
      <w:b w:val="0"/>
      <w:i w:val="0"/>
      <w:sz w:val="24"/>
    </w:rPr>
  </w:style>
  <w:style w:type="character" w:customStyle="1" w:styleId="WW8Num4z0">
    <w:name w:val="WW8Num4z0"/>
    <w:qFormat/>
    <w:rPr>
      <w:rFonts w:ascii="Times New Roman" w:hAnsi="Times New Roman" w:cs="Times New Roman"/>
    </w:rPr>
  </w:style>
  <w:style w:type="character" w:customStyle="1" w:styleId="WW8Num5z0">
    <w:name w:val="WW8Num5z0"/>
    <w:qFormat/>
    <w:rPr>
      <w:rFonts w:ascii="Times New Roman" w:hAnsi="Times New Roman" w:cs="Times New Roman"/>
    </w:rPr>
  </w:style>
  <w:style w:type="character" w:customStyle="1" w:styleId="WW8Num6z0">
    <w:name w:val="WW8Num6z0"/>
    <w:qFormat/>
    <w:rPr>
      <w:rFonts w:ascii="Times New Roman" w:hAnsi="Times New Roman" w:cs="Times New Roman"/>
    </w:rPr>
  </w:style>
  <w:style w:type="character" w:customStyle="1" w:styleId="WW8Num7z0">
    <w:name w:val="WW8Num7z0"/>
    <w:qFormat/>
  </w:style>
  <w:style w:type="character" w:customStyle="1" w:styleId="WW8Num8z0">
    <w:name w:val="WW8Num8z0"/>
    <w:qFormat/>
    <w:rPr>
      <w:rFonts w:ascii="Times New Roman" w:hAnsi="Times New Roman" w:cs="Times New Roman"/>
    </w:rPr>
  </w:style>
  <w:style w:type="character" w:customStyle="1" w:styleId="WW8Num9z0">
    <w:name w:val="WW8Num9z0"/>
    <w:qFormat/>
  </w:style>
  <w:style w:type="character" w:customStyle="1" w:styleId="WW8Num10z0">
    <w:name w:val="WW8Num10z0"/>
    <w:qFormat/>
    <w:rPr>
      <w:rFonts w:ascii="Times New Roman" w:hAnsi="Times New Roman" w:cs="Times New Roman"/>
    </w:rPr>
  </w:style>
  <w:style w:type="character" w:customStyle="1" w:styleId="WW8Num11z0">
    <w:name w:val="WW8Num11z0"/>
    <w:qFormat/>
    <w:rPr>
      <w:b w:val="0"/>
      <w:i w:val="0"/>
      <w:sz w:val="24"/>
    </w:rPr>
  </w:style>
  <w:style w:type="character" w:customStyle="1" w:styleId="WW8Num12z0">
    <w:name w:val="WW8Num12z0"/>
    <w:qFormat/>
    <w:rPr>
      <w:b w:val="0"/>
      <w:i w:val="0"/>
      <w:sz w:val="24"/>
    </w:rPr>
  </w:style>
  <w:style w:type="character" w:customStyle="1" w:styleId="WW8Num14z0">
    <w:name w:val="WW8Num14z0"/>
    <w:qFormat/>
    <w:rPr>
      <w:rFonts w:ascii="Times New Roman" w:hAnsi="Times New Roman" w:cs="Times New Roman"/>
    </w:rPr>
  </w:style>
  <w:style w:type="character" w:customStyle="1" w:styleId="a3">
    <w:name w:val="頁首 字元"/>
    <w:qFormat/>
    <w:rPr>
      <w:kern w:val="2"/>
    </w:rPr>
  </w:style>
  <w:style w:type="character" w:customStyle="1" w:styleId="a4">
    <w:name w:val="頁尾 字元"/>
    <w:qFormat/>
    <w:rPr>
      <w:kern w:val="2"/>
    </w:rPr>
  </w:style>
  <w:style w:type="character" w:customStyle="1" w:styleId="a5">
    <w:name w:val="無間距 字元"/>
    <w:qFormat/>
    <w:rPr>
      <w:rFonts w:ascii="Calibri" w:hAnsi="Calibri" w:cs="Calibri"/>
      <w:sz w:val="22"/>
      <w:szCs w:val="22"/>
      <w:lang w:val="en-US" w:eastAsia="zh-TW" w:bidi="ar-SA"/>
    </w:rPr>
  </w:style>
  <w:style w:type="character" w:styleId="a6">
    <w:name w:val="page number"/>
    <w:basedOn w:val="a0"/>
  </w:style>
  <w:style w:type="paragraph" w:customStyle="1" w:styleId="Heading">
    <w:name w:val="Heading"/>
    <w:basedOn w:val="a"/>
    <w:next w:val="a7"/>
    <w:qFormat/>
    <w:pPr>
      <w:keepNext/>
      <w:spacing w:before="240" w:after="120"/>
    </w:pPr>
    <w:rPr>
      <w:rFonts w:ascii="Liberation Sans" w:eastAsia="WenQuanYi Zen Hei" w:hAnsi="Liberation Sans" w:cs="FreeSans"/>
      <w:sz w:val="28"/>
      <w:szCs w:val="28"/>
    </w:rPr>
  </w:style>
  <w:style w:type="paragraph" w:styleId="a7">
    <w:name w:val="Body Text"/>
    <w:basedOn w:val="a"/>
    <w:pPr>
      <w:spacing w:after="120"/>
    </w:pPr>
  </w:style>
  <w:style w:type="paragraph" w:styleId="a8">
    <w:name w:val="List"/>
    <w:basedOn w:val="a7"/>
    <w:rPr>
      <w:rFonts w:cs="FreeSans"/>
    </w:rPr>
  </w:style>
  <w:style w:type="paragraph" w:styleId="a9">
    <w:name w:val="caption"/>
    <w:basedOn w:val="a"/>
    <w:qFormat/>
    <w:pPr>
      <w:suppressLineNumbers/>
      <w:spacing w:before="120" w:after="120"/>
    </w:pPr>
    <w:rPr>
      <w:rFonts w:cs="FreeSans"/>
      <w:i/>
      <w:iCs/>
    </w:rPr>
  </w:style>
  <w:style w:type="paragraph" w:customStyle="1" w:styleId="Index">
    <w:name w:val="Index"/>
    <w:basedOn w:val="a"/>
    <w:qFormat/>
    <w:pPr>
      <w:suppressLineNumbers/>
    </w:pPr>
    <w:rPr>
      <w:rFonts w:cs="FreeSans"/>
    </w:rPr>
  </w:style>
  <w:style w:type="paragraph" w:styleId="aa">
    <w:name w:val="envelope return"/>
    <w:basedOn w:val="a"/>
    <w:pPr>
      <w:autoSpaceDE w:val="0"/>
      <w:spacing w:line="360" w:lineRule="atLeast"/>
    </w:pPr>
    <w:rPr>
      <w:rFonts w:ascii="華康隸書體;細明體" w:eastAsia="華康隸書體;細明體" w:hAnsi="華康隸書體;細明體"/>
      <w:spacing w:val="20"/>
      <w:kern w:val="0"/>
      <w:sz w:val="28"/>
      <w:szCs w:val="20"/>
    </w:rPr>
  </w:style>
  <w:style w:type="paragraph" w:styleId="ab">
    <w:name w:val="Body Text Indent"/>
    <w:basedOn w:val="a"/>
    <w:pPr>
      <w:spacing w:line="288" w:lineRule="auto"/>
      <w:ind w:left="1080" w:hanging="600"/>
      <w:textAlignment w:val="baseline"/>
    </w:pPr>
    <w:rPr>
      <w:rFonts w:eastAsia="標楷體"/>
      <w:kern w:val="0"/>
      <w:sz w:val="28"/>
      <w:szCs w:val="20"/>
    </w:rPr>
  </w:style>
  <w:style w:type="paragraph" w:styleId="3">
    <w:name w:val="Body Text Indent 3"/>
    <w:basedOn w:val="a"/>
    <w:qFormat/>
    <w:pPr>
      <w:spacing w:after="120"/>
      <w:ind w:left="480"/>
    </w:pPr>
    <w:rPr>
      <w:sz w:val="16"/>
      <w:szCs w:val="16"/>
    </w:rPr>
  </w:style>
  <w:style w:type="paragraph" w:customStyle="1" w:styleId="HeaderandFooter">
    <w:name w:val="Header and Footer"/>
    <w:basedOn w:val="a"/>
    <w:qFormat/>
    <w:pPr>
      <w:suppressLineNumbers/>
      <w:tabs>
        <w:tab w:val="center" w:pos="4819"/>
        <w:tab w:val="right" w:pos="9638"/>
      </w:tabs>
    </w:pPr>
  </w:style>
  <w:style w:type="paragraph" w:styleId="ac">
    <w:name w:val="header"/>
    <w:basedOn w:val="a"/>
    <w:pPr>
      <w:tabs>
        <w:tab w:val="center" w:pos="4153"/>
        <w:tab w:val="right" w:pos="8306"/>
      </w:tabs>
      <w:snapToGrid w:val="0"/>
    </w:pPr>
    <w:rPr>
      <w:sz w:val="20"/>
      <w:szCs w:val="20"/>
    </w:rPr>
  </w:style>
  <w:style w:type="paragraph" w:styleId="ad">
    <w:name w:val="footer"/>
    <w:basedOn w:val="a"/>
    <w:pPr>
      <w:tabs>
        <w:tab w:val="center" w:pos="4153"/>
        <w:tab w:val="right" w:pos="8306"/>
      </w:tabs>
      <w:snapToGrid w:val="0"/>
    </w:pPr>
    <w:rPr>
      <w:sz w:val="20"/>
      <w:szCs w:val="20"/>
    </w:rPr>
  </w:style>
  <w:style w:type="paragraph" w:styleId="ae">
    <w:name w:val="No Spacing"/>
    <w:qFormat/>
    <w:pPr>
      <w:suppressAutoHyphens/>
    </w:pPr>
    <w:rPr>
      <w:rFonts w:ascii="Calibri" w:eastAsia="新細明體;PMingLiU" w:hAnsi="Calibri" w:cs="Calibri"/>
      <w:sz w:val="22"/>
      <w:szCs w:val="22"/>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細明體"/>
        <a:cs typeface="DejaVu Sans"/>
      </a:majorFont>
      <a:minorFont>
        <a:latin typeface="Arial"/>
        <a:ea typeface="新細明體"/>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626</Words>
  <Characters>3573</Characters>
  <Application>Microsoft Office Word</Application>
  <DocSecurity>0</DocSecurity>
  <Lines>29</Lines>
  <Paragraphs>8</Paragraphs>
  <ScaleCrop>false</ScaleCrop>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芝榕 張</cp:lastModifiedBy>
  <cp:revision>3</cp:revision>
  <dcterms:created xsi:type="dcterms:W3CDTF">2026-09-28T11:38:00Z</dcterms:created>
  <dcterms:modified xsi:type="dcterms:W3CDTF">2026-09-28T11:39:00Z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2026-09-04T03:31:00Z</dcterms:created>
  <dc:creator>Shirely</dc:creator>
  <dc:description/>
  <cp:keywords/>
  <dc:language>en-US</dc:language>
  <cp:lastModifiedBy>芝榕 張</cp:lastModifiedBy>
  <dcterms:modified xsi:type="dcterms:W3CDTF">2026-09-04T03:31:00Z</dcterms:modified>
  <cp:revision>2</cp:revision>
  <dc:subject/>
  <dc:title>承   諾   書</dc:title>
</cp:coreProperties>
</file>