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sz w:val="34"/>
          <w:szCs w:val="34"/>
        </w:rPr>
        <w:t xml:space="preserve">Two Windows, One Object:</w:t>
      </w:r>
    </w:p>
    <w:p>
      <w:pPr>
        <w:spacing w:after="120"/>
        <w:jc w:val="center"/>
      </w:pPr>
      <w:r>
        <w:rPr>
          <w:rFonts w:ascii="Arial" w:cs="Arial" w:eastAsia="Arial" w:hAnsi="Arial"/>
          <w:b/>
          <w:bCs/>
          <w:sz w:val="34"/>
          <w:szCs w:val="34"/>
        </w:rPr>
        <w:t xml:space="preserve">Toroidal Dynamics and Open Questions on (ℤ/pℤ)*</w:t>
      </w:r>
    </w:p>
    <w:p>
      <w:pPr>
        <w:spacing w:after="60"/>
        <w:jc w:val="center"/>
      </w:pPr>
      <w:r>
        <w:rPr>
          <w:rFonts w:ascii="Arial" w:cs="Arial" w:eastAsia="Arial" w:hAnsi="Arial"/>
          <w:i/>
          <w:iCs/>
          <w:color w:val="555555"/>
          <w:sz w:val="24"/>
          <w:szCs w:val="24"/>
        </w:rPr>
        <w:t xml:space="preserve">Structural Correspondences within Serie I</w:t>
      </w:r>
    </w:p>
    <w:p>
      <w:pPr>
        <w:spacing w:before="400" w:after="30"/>
        <w:jc w:val="center"/>
      </w:pPr>
      <w:r>
        <w:rPr>
          <w:rFonts w:ascii="Arial" w:cs="Arial" w:eastAsia="Arial" w:hAnsi="Arial"/>
          <w:color w:val="666666"/>
          <w:sz w:val="22"/>
          <w:szCs w:val="22"/>
        </w:rPr>
        <w:t xml:space="preserve">Serie I Working Note</w:t>
      </w:r>
    </w:p>
    <w:p>
      <w:pPr>
        <w:spacing w:after="30"/>
        <w:jc w:val="center"/>
      </w:pPr>
      <w:r>
        <w:rPr>
          <w:rFonts w:ascii="Arial" w:cs="Arial" w:eastAsia="Arial" w:hAnsi="Arial"/>
          <w:color w:val="666666"/>
          <w:sz w:val="20"/>
          <w:szCs w:val="20"/>
        </w:rPr>
        <w:t xml:space="preserve">Ricardo Hernández Reveles — ORCID: 0009-0001-1993-1471</w:t>
      </w:r>
    </w:p>
    <w:p>
      <w:pPr>
        <w:spacing w:after="500"/>
        <w:jc w:val="center"/>
      </w:pPr>
      <w:r>
        <w:rPr>
          <w:rFonts w:ascii="Arial" w:cs="Arial" w:eastAsia="Arial" w:hAnsi="Arial"/>
          <w:color w:val="666666"/>
          <w:sz w:val="20"/>
          <w:szCs w:val="20"/>
        </w:rPr>
        <w:t xml:space="preserve">March 2026</w:t>
      </w:r>
    </w:p>
    <w:p>
      <w:pPr>
        <w:spacing w:before="200" w:after="120"/>
        <w:jc w:val="center"/>
      </w:pPr>
      <w:r>
        <w:rPr>
          <w:rFonts w:ascii="Arial" w:cs="Arial" w:eastAsia="Arial" w:hAnsi="Arial"/>
          <w:b/>
          <w:bCs/>
          <w:sz w:val="24"/>
          <w:szCs w:val="24"/>
        </w:rPr>
        <w:t xml:space="preserve">Summary</w:t>
      </w:r>
    </w:p>
    <w:p>
      <w:pPr>
        <w:spacing w:after="160" w:line="276"/>
        <w:jc w:val="both"/>
      </w:pPr>
      <w:r>
        <w:rPr>
          <w:rFonts w:ascii="Arial" w:cs="Arial" w:eastAsia="Arial" w:hAnsi="Arial"/>
          <w:i/>
          <w:iCs/>
          <w:sz w:val="20"/>
          <w:szCs w:val="20"/>
        </w:rPr>
        <w:t xml:space="preserve">The toroidal embedding of the partial Euler product (Three Scales report) and the open questions on digit-sum properties of 1/p in base b (Preguntas Abiertas) study the same underlying object — the multiplicative group (ℤ/pℤ)* — through different channels. The toroidal approach reads each prime via a continuous phase ln(p)·γ mod 2π; the digit-sum approach reads each prime via a discrete period ord₂(p) of the binary expansion. Both yield structural information from small samples (N ≤ 2000 primes in the torus; p &lt; 50,000 for the digit sums). This note maps each open question to its toroidal counterpart, identifying shared mechanisms and suggesting that the f(b) = b/(b+1) operator may connect the two programs.</w:t>
      </w:r>
    </w:p>
    <w:p>
      <w:r>
        <w:br w:type="page"/>
      </w:r>
    </w:p>
    <w:p>
      <w:pPr>
        <w:pStyle w:val="Heading1"/>
        <w:spacing w:before="360" w:after="200"/>
      </w:pPr>
      <w:r>
        <w:rPr>
          <w:rFonts w:ascii="Arial" w:cs="Arial" w:eastAsia="Arial" w:hAnsi="Arial"/>
          <w:b/>
          <w:bCs/>
          <w:sz w:val="32"/>
          <w:szCs w:val="32"/>
        </w:rPr>
        <w:t xml:space="preserve">1. The Shared Object: (ℤ/pℤ)*</w:t>
      </w:r>
    </w:p>
    <w:p>
      <w:pPr>
        <w:spacing w:after="160" w:line="276"/>
        <w:jc w:val="both"/>
      </w:pPr>
      <w:r>
        <w:rPr>
          <w:rFonts w:ascii="Arial" w:cs="Arial" w:eastAsia="Arial" w:hAnsi="Arial"/>
          <w:sz w:val="20"/>
          <w:szCs w:val="20"/>
        </w:rPr>
        <w:t xml:space="preserve">Both programs extract information from the multiplicative group (ℤ/pℤ)* of integers modulo a prime p, but through different homomorphisms: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80"/>
        <w:gridCol w:w="3640"/>
        <w:gridCol w:w="3640"/>
      </w:tblGrid>
      <w:tr>
        <w:tc>
          <w:tcPr>
            <w:tcW w:type="dxa" w:w="208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
            </w:r>
          </w:p>
        </w:tc>
        <w:tc>
          <w:tcPr>
            <w:tcW w:type="dxa" w:w="36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Toroidal Embedding</w:t>
            </w:r>
          </w:p>
        </w:tc>
        <w:tc>
          <w:tcPr>
            <w:tcW w:type="dxa" w:w="36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Digit-Sum Program</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Input per prime</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Phase: θₖ = ln(p)·γ mod 2π</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Period: k = ord_b(p) | p−1</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Channel type</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Continuous (ℝ/2πℤ)</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Discrete (ℤ/kℤ)</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Bits per prime</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 (Float64 phase)</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~1–10 (digit sum S)</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Key identity</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p⁻ˢ = p⁻σ · e⁻ⁱθ</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1/p = 0.̅d̅₁̅d̅₂...̅d̅ₖ (repeating)</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Structural domain</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(ln p) as frequency on ℤ</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ord_b(p) as period in (ℤ/pℤ)*</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Where f(b) acts</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Per-step contraction + CF eval</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Bottom-up CF of convergents</w:t>
            </w:r>
          </w:p>
        </w:tc>
      </w:tr>
      <w:tr>
        <w:tc>
          <w:tcPr>
            <w:tcW w:type="dxa" w:w="208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Sample efficiency</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N≤ 2000 primes suffice</w:t>
            </w:r>
          </w:p>
        </w:tc>
        <w:tc>
          <w:tcPr>
            <w:tcW w:type="dxa" w:w="36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p &lt; 50,000 suffices (961 primes)</w:t>
            </w:r>
          </w:p>
        </w:tc>
      </w:tr>
    </w:tbl>
    <w:p>
      <w:pPr>
        <w:spacing w:before="80" w:after="140"/>
      </w:pPr>
      <w:r>
        <w:rPr>
          <w:rFonts w:ascii="Arial" w:cs="Arial" w:eastAsia="Arial" w:hAnsi="Arial"/>
          <w:i/>
          <w:iCs/>
          <w:color w:val="555555"/>
          <w:sz w:val="18"/>
          <w:szCs w:val="18"/>
        </w:rPr>
        <w:t xml:space="preserve">Table 1. The two programs as dual channels on (ℤ/pℤ)*.</w:t>
      </w:r>
    </w:p>
    <w:p>
      <w:pPr>
        <w:spacing w:after="160" w:line="276"/>
        <w:jc w:val="both"/>
      </w:pPr>
      <w:r>
        <w:rPr>
          <w:rFonts w:ascii="Arial" w:cs="Arial" w:eastAsia="Arial" w:hAnsi="Arial"/>
          <w:sz w:val="20"/>
          <w:szCs w:val="20"/>
        </w:rPr>
        <w:t xml:space="preserve">The connection is not analogical. Each factor p⁻ˢ of the Euler product decomposes as p⁻σ · exp(−i·ln(p)·t), producing the angular frequency ω = ln(p) that parametrizes the torus. Simultaneously, the binary expansion of 1/p has period k = ord₂(p), the multiplicative order of 2 in (ℤ/pℤ)*. Both ω and k are functions of the same group — one continuous (via the logarithm), one discrete (via the order). The digit sum S(p) = Σ dᵢ over one period is a trace over the discrete orbit; the spiral amplitude rₖ = p⁻σ is a norm on the continuous representation. They are Fourier-dual views of the same arithmetic.</w:t>
      </w:r>
    </w:p>
    <w:p>
      <w:r>
        <w:br w:type="page"/>
      </w:r>
    </w:p>
    <w:p>
      <w:pPr>
        <w:pStyle w:val="Heading1"/>
        <w:spacing w:before="360" w:after="200"/>
      </w:pPr>
      <w:r>
        <w:rPr>
          <w:rFonts w:ascii="Arial" w:cs="Arial" w:eastAsia="Arial" w:hAnsi="Arial"/>
          <w:b/>
          <w:bCs/>
          <w:sz w:val="32"/>
          <w:szCs w:val="32"/>
        </w:rPr>
        <w:t xml:space="preserve">2. Q1/Q2 ↔ Scale 3: CF Modulation and Midy’s Theorem</w:t>
      </w:r>
    </w:p>
    <w:p>
      <w:pPr>
        <w:pStyle w:val="Heading2"/>
        <w:spacing w:before="280" w:after="160"/>
      </w:pPr>
      <w:r>
        <w:rPr>
          <w:rFonts w:ascii="Arial" w:cs="Arial" w:eastAsia="Arial" w:hAnsi="Arial"/>
          <w:b/>
          <w:bCs/>
          <w:sz w:val="26"/>
          <w:szCs w:val="26"/>
        </w:rPr>
        <w:t xml:space="preserve">2.1 The Digit-Sum Side</w:t>
      </w:r>
    </w:p>
    <w:p>
      <w:pPr>
        <w:spacing w:after="160" w:line="276"/>
        <w:jc w:val="both"/>
      </w:pPr>
      <w:r>
        <w:rPr>
          <w:rFonts w:ascii="Arial" w:cs="Arial" w:eastAsia="Arial" w:hAnsi="Arial"/>
          <w:sz w:val="20"/>
          <w:szCs w:val="20"/>
        </w:rPr>
        <w:t xml:space="preserve">Q1 asks: why is S − k/2 &lt; 0 universally for half-reptend primes with p ≡ 7 (mod 8)? Q2 asks: is there a closed-form for S(p) in this case? The verified identity S_b(p) = (b−1)λ/2 for odd co-length (Paper 4, Serie I) covers the complementary case. The half-reptend case with even co-length (λ = 2) is precisely the gap.</w:t>
      </w:r>
    </w:p>
    <w:p>
      <w:pPr>
        <w:pStyle w:val="Heading2"/>
        <w:spacing w:before="280" w:after="160"/>
      </w:pPr>
      <w:r>
        <w:rPr>
          <w:rFonts w:ascii="Arial" w:cs="Arial" w:eastAsia="Arial" w:hAnsi="Arial"/>
          <w:b/>
          <w:bCs/>
          <w:sz w:val="26"/>
          <w:szCs w:val="26"/>
        </w:rPr>
        <w:t xml:space="preserve">2.2 The Toroidal Side</w:t>
      </w:r>
    </w:p>
    <w:p>
      <w:pPr>
        <w:spacing w:after="160" w:line="276"/>
        <w:jc w:val="both"/>
      </w:pPr>
      <w:r>
        <w:rPr>
          <w:rFonts w:ascii="Arial" w:cs="Arial" w:eastAsia="Arial" w:hAnsi="Arial"/>
          <w:sz w:val="20"/>
          <w:szCs w:val="20"/>
        </w:rPr>
        <w:t xml:space="preserve">Scale 3 of the toroidal dynamics is the CF modulation: error·q² ∈ [1/aₙ₊₁, φ⁻¹], governed by the continued fraction coefficients of γ. When aₙ is small (predominantly 1 or 2 for zeta zeros), the phase oscillation is slow and near-periodic. When aₙ is large (e.g., a₉ = 24 for γ₁), the oscillation collapses briefly.</w:t>
      </w:r>
    </w:p>
    <w:p>
      <w:pPr>
        <w:pStyle w:val="Heading2"/>
        <w:spacing w:before="280" w:after="160"/>
      </w:pPr>
      <w:r>
        <w:rPr>
          <w:rFonts w:ascii="Arial" w:cs="Arial" w:eastAsia="Arial" w:hAnsi="Arial"/>
          <w:b/>
          <w:bCs/>
          <w:sz w:val="26"/>
          <w:szCs w:val="26"/>
        </w:rPr>
        <w:t xml:space="preserve">2.3 The Shared Mechanism</w:t>
      </w:r>
    </w:p>
    <w:p>
      <w:pPr>
        <w:spacing w:after="160" w:line="276"/>
        <w:jc w:val="both"/>
      </w:pPr>
      <w:r>
        <w:rPr>
          <w:rFonts w:ascii="Arial" w:cs="Arial" w:eastAsia="Arial" w:hAnsi="Arial"/>
          <w:b/>
          <w:bCs/>
          <w:sz w:val="20"/>
          <w:szCs w:val="20"/>
        </w:rPr>
        <w:t xml:space="preserve">Both phenomena arise from the same algebraic identity: </w:t>
      </w:r>
      <w:r>
        <w:rPr>
          <w:rFonts w:ascii="Arial" w:cs="Arial" w:eastAsia="Arial" w:hAnsi="Arial"/>
          <w:sz w:val="20"/>
          <w:szCs w:val="20"/>
        </w:rPr>
        <w:t xml:space="preserve">f(b) = b/(b+1) = 1/(1+1/b) = [0; 1, b]. In Scale 3, iterated f evaluates the CF of γ bottom-up, with the fixed point φ = [1;1,1,...] governing the oscillation when all aₙ = 1. In the digit-sum context, the complementarity condition of Midy (dᵢ + dᵢ₊ₖ₂ = b−1) is equivalent to requiring that the orbit of b in (ℤ/pℤ)* be partitioned into complementary halves. When co-length is odd (half-reptend, k odd), this partition is imperfect — exactly one digit (d₁ = 0) has no complement. The deficit S − k/2 ≈ −0.5 would follow from d₁ alone, but the observed deficit grows with p (mean −39.3), indicating a cumulative asymmetry in the orbit structure.</w:t>
      </w:r>
    </w:p>
    <w:p>
      <w:pPr>
        <w:spacing w:after="160" w:line="276"/>
        <w:jc w:val="both"/>
      </w:pPr>
      <w:r>
        <w:rPr>
          <w:rFonts w:ascii="Arial" w:cs="Arial" w:eastAsia="Arial" w:hAnsi="Arial"/>
          <w:sz w:val="20"/>
          <w:szCs w:val="20"/>
        </w:rPr>
        <w:t xml:space="preserve">The proposed attack for Q1 — correlating v₂(p−1) with |S − k/2| — has a toroidal interpretation: v₂(p−1) controls the 2-adic depth of the group structure, which determines how many “layers” the orbit of 2 traverses before closing. In the torus, the analogous quantity is the number of near-closures before decoherence (N_peak), which depends on how well ln(p)·γ is approximated by rationals — i.e., the CF structure of ln(p)·γ/2π.</w:t>
      </w:r>
    </w:p>
    <w:p>
      <w:r>
        <w:br w:type="page"/>
      </w:r>
    </w:p>
    <w:p>
      <w:pPr>
        <w:pStyle w:val="Heading1"/>
        <w:spacing w:before="360" w:after="200"/>
      </w:pPr>
      <w:r>
        <w:rPr>
          <w:rFonts w:ascii="Arial" w:cs="Arial" w:eastAsia="Arial" w:hAnsi="Arial"/>
          <w:b/>
          <w:bCs/>
          <w:sz w:val="32"/>
          <w:szCs w:val="32"/>
        </w:rPr>
        <w:t xml:space="preserve">3. Q3 ↔ Scale 2: Positional Gradient and Transient Dominance</w:t>
      </w:r>
    </w:p>
    <w:p>
      <w:pPr>
        <w:spacing w:after="160" w:line="276"/>
        <w:jc w:val="both"/>
      </w:pPr>
      <w:r>
        <w:rPr>
          <w:rFonts w:ascii="Arial" w:cs="Arial" w:eastAsia="Arial" w:hAnsi="Arial"/>
          <w:sz w:val="20"/>
          <w:szCs w:val="20"/>
        </w:rPr>
        <w:t xml:space="preserve">Q3 observes that the digit-sum deficit is concentrated in the first quarter of the period (Q1 density = 0.488, Q4 density = 0.497). The toroidal counterpart is the dominance of the first few prime pairs in setting the trajectory direction.</w:t>
      </w:r>
    </w:p>
    <w:p>
      <w:pPr>
        <w:spacing w:after="160" w:line="276"/>
        <w:jc w:val="both"/>
      </w:pPr>
      <w:r>
        <w:rPr>
          <w:rFonts w:ascii="Arial" w:cs="Arial" w:eastAsia="Arial" w:hAnsi="Arial"/>
          <w:sz w:val="20"/>
          <w:szCs w:val="20"/>
        </w:rPr>
        <w:t xml:space="preserve">In the torus: the first ~10 pairs (N_CF ≈ 10) fix the CF modulation phase, and the first ~50 pairs (N_spiral ≈ 50) fix the spiral envelope. Beyond this, additional pairs contribute diminishing corrections. This is a transient-dominance phenomenon: the early terms of a weighted sum control the result because their weights are largest (wₖ ∝ (pₖ pₖ₊₁)⁻σ is maximal for small primes).</w:t>
      </w:r>
    </w:p>
    <w:p>
      <w:pPr>
        <w:spacing w:after="160" w:line="276"/>
        <w:jc w:val="both"/>
      </w:pPr>
      <w:r>
        <w:rPr>
          <w:rFonts w:ascii="Arial" w:cs="Arial" w:eastAsia="Arial" w:hAnsi="Arial"/>
          <w:sz w:val="20"/>
          <w:szCs w:val="20"/>
        </w:rPr>
        <w:t xml:space="preserve">In the digits: the first ~log₂(p) digits of 1/p are determined by the binary expansion before the periodic pattern stabilizes. The digit d₁ = 0 (since 2/p &lt; 1 for p &gt; 2) creates a fixed deficit that propagates through the early positions. The Q3 observation that full-reptend primes have weaker gradient (Q1 = 0.495 vs Q4 = 0.501) is consistent: full-reptend have the Midy complementarity that “corrects” the early bias by pairing each digit with its complement in the second half.</w:t>
      </w:r>
    </w:p>
    <w:p>
      <w:pPr>
        <w:spacing w:after="160" w:line="276"/>
        <w:jc w:val="both"/>
      </w:pPr>
      <w:r>
        <w:rPr>
          <w:rFonts w:ascii="Arial" w:cs="Arial" w:eastAsia="Arial" w:hAnsi="Arial"/>
          <w:b/>
          <w:bCs/>
          <w:sz w:val="20"/>
          <w:szCs w:val="20"/>
        </w:rPr>
        <w:t xml:space="preserve">Connection: </w:t>
      </w:r>
      <w:r>
        <w:rPr>
          <w:rFonts w:ascii="Arial" w:cs="Arial" w:eastAsia="Arial" w:hAnsi="Arial"/>
          <w:sz w:val="20"/>
          <w:szCs w:val="20"/>
        </w:rPr>
        <w:t xml:space="preserve">both systems exhibit early-dominance with late-correction. In the torus, the “correction” is the convergence of the spiral (Scale 2 decays as N⁻¹·⁴). In the digits, the correction is Midy complementarity (when it applies). The proposed Q3 attack — check whether the gradient flattens with large p — has a toroidal prediction: it should flatten, because the transient-to-asymptotic transition moves to later positions as p grows (more digits before periodicity), but the relative weight of the first digit d₁ = 0 decreases as 1/k.</w:t>
      </w:r>
    </w:p>
    <w:p>
      <w:pPr>
        <w:pStyle w:val="Heading1"/>
        <w:spacing w:before="360" w:after="200"/>
      </w:pPr>
      <w:r>
        <w:rPr>
          <w:rFonts w:ascii="Arial" w:cs="Arial" w:eastAsia="Arial" w:hAnsi="Arial"/>
          <w:b/>
          <w:bCs/>
          <w:sz w:val="32"/>
          <w:szCs w:val="32"/>
        </w:rPr>
        <w:t xml:space="preserve">4. Q4 ↔ Scale 1: Autocorrelation and Drift Coherence</w:t>
      </w:r>
    </w:p>
    <w:p>
      <w:pPr>
        <w:spacing w:after="160" w:line="276"/>
        <w:jc w:val="both"/>
      </w:pPr>
      <w:r>
        <w:rPr>
          <w:rFonts w:ascii="Arial" w:cs="Arial" w:eastAsia="Arial" w:hAnsi="Arial"/>
          <w:sz w:val="20"/>
          <w:szCs w:val="20"/>
        </w:rPr>
        <w:t xml:space="preserve">Q4 reports lag-1 autocorrelation of +0.006 in half-reptend digit sequences — more consecutive (1,1) and (0,0) pairs than expected. The toroidal counterpart is the directional coherence of the attractor drift (Scale 1): the cosine between consecutive steps is &gt; 0.9, meaning consecutive displacements point in nearly the same direction.</w:t>
      </w:r>
    </w:p>
    <w:p>
      <w:pPr>
        <w:spacing w:after="160" w:line="276"/>
        <w:jc w:val="both"/>
      </w:pPr>
      <w:r>
        <w:rPr>
          <w:rFonts w:ascii="Arial" w:cs="Arial" w:eastAsia="Arial" w:hAnsi="Arial"/>
          <w:sz w:val="20"/>
          <w:szCs w:val="20"/>
        </w:rPr>
        <w:t xml:space="preserve">The mechanisms are related: in the torus, consecutive prime pairs (pₖ, pₖ₊₁) share one prime, creating structural correlation between modes k and k+1. In the digit sequence of 1/p, consecutive digits dᵢ and dᵢ₊₁ are generated by the same multiplicative recursion (multiply by 2, take mod p), creating serial dependence through the group operation.</w:t>
      </w:r>
    </w:p>
    <w:p>
      <w:pPr>
        <w:spacing w:after="160" w:line="276"/>
        <w:jc w:val="both"/>
      </w:pPr>
      <w:r>
        <w:rPr>
          <w:rFonts w:ascii="Arial" w:cs="Arial" w:eastAsia="Arial" w:hAnsi="Arial"/>
          <w:sz w:val="20"/>
          <w:szCs w:val="20"/>
        </w:rPr>
        <w:t xml:space="preserve">Q4 notes that the excess autocorrelation (+0.006 vs the deficit-predicted −0.001) suggests genuine correlation beyond the density bias. The toroidal analog is that the drift cosine (&gt; 0.9) is far larger than what random phase accumulation would give. Both are signatures of the same arithmetic: the orbit of 2 (or of e⁻ⁱω) in (ℤ/pℤ)* is not a random walk — it is a deterministic sequence that merely appears pseudo-random statistically.</w:t>
      </w:r>
    </w:p>
    <w:p>
      <w:r>
        <w:br w:type="page"/>
      </w:r>
    </w:p>
    <w:p>
      <w:pPr>
        <w:pStyle w:val="Heading1"/>
        <w:spacing w:before="360" w:after="200"/>
      </w:pPr>
      <w:r>
        <w:rPr>
          <w:rFonts w:ascii="Arial" w:cs="Arial" w:eastAsia="Arial" w:hAnsi="Arial"/>
          <w:b/>
          <w:bCs/>
          <w:sz w:val="32"/>
          <w:szCs w:val="32"/>
        </w:rPr>
        <w:t xml:space="preserve">5. Q6 ↔ Scale 2: Consecutive Prime Coupling</w:t>
      </w:r>
    </w:p>
    <w:p>
      <w:pPr>
        <w:spacing w:after="160" w:line="276"/>
        <w:jc w:val="both"/>
      </w:pPr>
      <w:r>
        <w:rPr>
          <w:rFonts w:ascii="Arial" w:cs="Arial" w:eastAsia="Arial" w:hAnsi="Arial"/>
          <w:sz w:val="20"/>
          <w:szCs w:val="20"/>
        </w:rPr>
        <w:t xml:space="preserve">Q6 detects a weak but statistically real correlation (Spearman ρ = −0.077, p = 10⁻¹⁰⁴) between |delta-ratio| of ord₂(p)/(p−1) for consecutive primes and the Hamming weight of their XOR. The toroidal counterpart is direct: each pair (pₖ, pₖ₊₁) contributes one toroidal mode. The coupling between consecutive modes arises because pₖ₊₁ appears in both mode k (as the second prime) and mode k+1 (as the first prime).</w:t>
      </w:r>
    </w:p>
    <w:p>
      <w:pPr>
        <w:spacing w:after="160" w:line="276"/>
        <w:jc w:val="both"/>
      </w:pPr>
      <w:r>
        <w:rPr>
          <w:rFonts w:ascii="Arial" w:cs="Arial" w:eastAsia="Arial" w:hAnsi="Arial"/>
          <w:sz w:val="20"/>
          <w:szCs w:val="20"/>
        </w:rPr>
        <w:t xml:space="preserve">In Q6’s language: primes p and p+2g share partial factorizations of p−1 and (p+2g)−1, creating correlations in their multiplicative orders. In the torus: modes k and k+1 share the prime pₖ₊₁, creating correlation in their phase contributions. The strength scales inversely with the gap: small gaps (twin primes) produce stronger correlations. This is consistent with Q6’s proposed attack — stratify by gap size.</w:t>
      </w:r>
    </w:p>
    <w:p>
      <w:pPr>
        <w:pStyle w:val="Heading1"/>
        <w:spacing w:before="360" w:after="200"/>
      </w:pPr>
      <w:r>
        <w:rPr>
          <w:rFonts w:ascii="Arial" w:cs="Arial" w:eastAsia="Arial" w:hAnsi="Arial"/>
          <w:b/>
          <w:bCs/>
          <w:sz w:val="32"/>
          <w:szCs w:val="32"/>
        </w:rPr>
        <w:t xml:space="preserve">6. Q5 ↔ Orbital Symmetry: Palindromes and Planarity</w:t>
      </w:r>
    </w:p>
    <w:p>
      <w:pPr>
        <w:spacing w:after="160" w:line="276"/>
        <w:jc w:val="both"/>
      </w:pPr>
      <w:r>
        <w:rPr>
          <w:rFonts w:ascii="Arial" w:cs="Arial" w:eastAsia="Arial" w:hAnsi="Arial"/>
          <w:sz w:val="20"/>
          <w:szCs w:val="20"/>
        </w:rPr>
        <w:t xml:space="preserve">Q5 observes a deficit of binary palindromes among primes (ratio ≈0.53 of expectation). The toroidal analog is the structural planarity of the stabilization trails: &gt;99% variance in two principal components. Both are symmetry reductions.</w:t>
      </w:r>
    </w:p>
    <w:p>
      <w:pPr>
        <w:spacing w:after="160" w:line="276"/>
        <w:jc w:val="both"/>
      </w:pPr>
      <w:r>
        <w:rPr>
          <w:rFonts w:ascii="Arial" w:cs="Arial" w:eastAsia="Arial" w:hAnsi="Arial"/>
          <w:sz w:val="20"/>
          <w:szCs w:val="20"/>
        </w:rPr>
        <w:t xml:space="preserve">A binary palindrome has reflection symmetry: dᵢ = dₙ₋ᵢ. Primes systematically break this symmetry (they must be odd, so the last bit is 1; they cannot be even, restricting the first bit; etc.). In the torus, the planarity arises because the z-component has no R-factor, breaking the isotropy of ℝ³. Both are cases where the arithmetic constraints (primality, critical-line structure) reduce the effective symmetry of the space.</w:t>
      </w:r>
    </w:p>
    <w:p>
      <w:pPr>
        <w:spacing w:after="160" w:line="276"/>
        <w:jc w:val="both"/>
      </w:pPr>
      <w:r>
        <w:rPr>
          <w:rFonts w:ascii="Arial" w:cs="Arial" w:eastAsia="Arial" w:hAnsi="Arial"/>
          <w:sz w:val="20"/>
          <w:szCs w:val="20"/>
        </w:rPr>
        <w:t xml:space="preserve">The connection is suggestive rather than structural. It belongs to the class of observations where different arithmetic constraints manifest as symmetry reductions in different representation spaces.</w:t>
      </w:r>
    </w:p>
    <w:p>
      <w:r>
        <w:br w:type="page"/>
      </w:r>
    </w:p>
    <w:p>
      <w:pPr>
        <w:pStyle w:val="Heading1"/>
        <w:spacing w:before="360" w:after="200"/>
      </w:pPr>
      <w:r>
        <w:rPr>
          <w:rFonts w:ascii="Arial" w:cs="Arial" w:eastAsia="Arial" w:hAnsi="Arial"/>
          <w:b/>
          <w:bCs/>
          <w:sz w:val="32"/>
          <w:szCs w:val="32"/>
        </w:rPr>
        <w:t xml:space="preserve">7. Optimal Sampling: The Shared Efficiency</w:t>
      </w:r>
    </w:p>
    <w:p>
      <w:pPr>
        <w:spacing w:after="160" w:line="276"/>
        <w:jc w:val="both"/>
      </w:pPr>
      <w:r>
        <w:rPr>
          <w:rFonts w:ascii="Arial" w:cs="Arial" w:eastAsia="Arial" w:hAnsi="Arial"/>
          <w:sz w:val="20"/>
          <w:szCs w:val="20"/>
        </w:rPr>
        <w:t xml:space="preserve">Both programs achieve their measurements with remarkably small samples: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Measurement</w:t>
            </w:r>
          </w:p>
        </w:tc>
        <w:tc>
          <w:tcPr>
            <w:tcW w:type="dxa" w:w="23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Toroidal N</w:t>
            </w:r>
          </w:p>
        </w:tc>
        <w:tc>
          <w:tcPr>
            <w:tcW w:type="dxa" w:w="23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Digit-sum p_max</w:t>
            </w:r>
          </w:p>
        </w:tc>
        <w:tc>
          <w:tcPr>
            <w:tcW w:type="dxa" w:w="2340"/>
            <w:tcBorders>
              <w:top w:val="single" w:color="BBBBBB" w:sz="1"/>
              <w:left w:val="single" w:color="BBBBBB" w:sz="1"/>
              <w:bottom w:val="single" w:color="BBBBBB" w:sz="1"/>
              <w:right w:val="single" w:color="BBBBBB" w:sz="1"/>
            </w:tcBorders>
            <w:shd w:fill="2E4057" w:color="auto" w:val="clear"/>
            <w:tcMar>
              <w:top w:type="dxa" w:w="60"/>
              <w:left w:type="dxa" w:w="100"/>
              <w:bottom w:type="dxa" w:w="60"/>
              <w:right w:type="dxa" w:w="100"/>
            </w:tcMar>
          </w:tcPr>
          <w:p>
            <w:pPr>
              <w:spacing w:after="0"/>
            </w:pPr>
            <w:r>
              <w:rPr>
                <w:rFonts w:ascii="Arial" w:cs="Arial" w:eastAsia="Arial" w:hAnsi="Arial"/>
                <w:b/>
                <w:bCs/>
                <w:color w:val="FFFFFF"/>
                <w:sz w:val="18"/>
                <w:szCs w:val="18"/>
                <w:shd w:val="clear" w:color="auto" w:fill="auto"/>
              </w:rPr>
              <w:t xml:space="preserve">Equivalent π(p)</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Drift divergence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200 pairs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Spiral exponent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 pairs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Universal deficit</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50,000</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5,133</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Midy identity</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1,189 pairs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~200 primes</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Autocorrelation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961 primes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961</w:t>
            </w:r>
          </w:p>
        </w:tc>
      </w:tr>
      <w:tr>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CF modulation</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10 pairs</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c>
          <w:tcPr>
            <w:tcW w:type="dxa" w:w="2340"/>
            <w:tcBorders>
              <w:top w:val="single" w:color="BBBBBB" w:sz="1"/>
              <w:left w:val="single" w:color="BBBBBB" w:sz="1"/>
              <w:bottom w:val="single" w:color="BBBBBB" w:sz="1"/>
              <w:right w:val="single" w:color="BBBBBB" w:sz="1"/>
            </w:tcBorders>
            <w:tcMar>
              <w:top w:type="dxa" w:w="60"/>
              <w:left w:type="dxa" w:w="100"/>
              <w:bottom w:type="dxa" w:w="60"/>
              <w:right w:type="dxa" w:w="100"/>
            </w:tcMar>
          </w:tcPr>
          <w:p>
            <w:pPr>
              <w:spacing w:after="0"/>
            </w:pPr>
            <w:r>
              <w:rPr>
                <w:rFonts w:ascii="Arial" w:cs="Arial" w:eastAsia="Arial" w:hAnsi="Arial"/>
                <w:sz w:val="18"/>
                <w:szCs w:val="18"/>
              </w:rPr>
              <w:t xml:space="preserve">—</w:t>
            </w:r>
          </w:p>
        </w:tc>
      </w:tr>
    </w:tbl>
    <w:p>
      <w:pPr>
        <w:spacing w:before="80" w:after="140"/>
      </w:pPr>
      <w:r>
        <w:rPr>
          <w:rFonts w:ascii="Arial" w:cs="Arial" w:eastAsia="Arial" w:hAnsi="Arial"/>
          <w:i/>
          <w:iCs/>
          <w:color w:val="555555"/>
          <w:sz w:val="18"/>
          <w:szCs w:val="18"/>
        </w:rPr>
        <w:t xml:space="preserve">Table 2. Neither program requires more than ~5,000 primes for its core measurements. The statistical study of primes (PNT, Cramér) requires 10⁶– 10⁹.</w:t>
      </w:r>
    </w:p>
    <w:p>
      <w:pPr>
        <w:spacing w:after="160" w:line="276"/>
        <w:jc w:val="both"/>
      </w:pPr>
      <w:r>
        <w:rPr>
          <w:rFonts w:ascii="Arial" w:cs="Arial" w:eastAsia="Arial" w:hAnsi="Arial"/>
          <w:sz w:val="20"/>
          <w:szCs w:val="20"/>
        </w:rPr>
        <w:t xml:space="preserve">The reason is identical in both cases: they read the multiplicative structure of each prime individually, not the collective density. The toroidal phase ln(p)·γ is a per-prime quantity carrying ~50 bits. The digit sum S(p) and period k = ord₂(p) are per-prime quantities carrying ~log₂(k) bits. Neither requires counting how many primes exist — only inspecting the structure of each one.</w:t>
      </w:r>
    </w:p>
    <w:p>
      <w:pPr>
        <w:spacing w:after="160" w:line="276"/>
        <w:jc w:val="both"/>
      </w:pPr>
      <w:r>
        <w:rPr>
          <w:rFonts w:ascii="Arial" w:cs="Arial" w:eastAsia="Arial" w:hAnsi="Arial"/>
          <w:b/>
          <w:bCs/>
          <w:sz w:val="20"/>
          <w:szCs w:val="20"/>
        </w:rPr>
        <w:t xml:space="preserve">This is the core observation of Section 8 of the Three Scales report, now extended: </w:t>
      </w:r>
      <w:r>
        <w:rPr>
          <w:rFonts w:ascii="Arial" w:cs="Arial" w:eastAsia="Arial" w:hAnsi="Arial"/>
          <w:sz w:val="20"/>
          <w:szCs w:val="20"/>
        </w:rPr>
        <w:t xml:space="preserve">geometry and arithmetic extract more information per prime than statistics. The two programs are independent confirmations of this principle, operating on different representations of the same group.</w:t>
      </w:r>
    </w:p>
    <w:p>
      <w:pPr>
        <w:pStyle w:val="Heading1"/>
        <w:spacing w:before="360" w:after="200"/>
      </w:pPr>
      <w:r>
        <w:rPr>
          <w:rFonts w:ascii="Arial" w:cs="Arial" w:eastAsia="Arial" w:hAnsi="Arial"/>
          <w:b/>
          <w:bCs/>
          <w:sz w:val="32"/>
          <w:szCs w:val="32"/>
        </w:rPr>
        <w:t xml:space="preserve">8. The f(b) Bridge</w:t>
      </w:r>
    </w:p>
    <w:p>
      <w:pPr>
        <w:spacing w:after="160" w:line="276"/>
        <w:jc w:val="both"/>
      </w:pPr>
      <w:r>
        <w:rPr>
          <w:rFonts w:ascii="Arial" w:cs="Arial" w:eastAsia="Arial" w:hAnsi="Arial"/>
          <w:sz w:val="20"/>
          <w:szCs w:val="20"/>
        </w:rPr>
        <w:t xml:space="preserve">The operator f(b) = b/(b+1) = 1/(1+1/b) appears in both programs:</w:t>
      </w:r>
    </w:p>
    <w:p>
      <w:pPr>
        <w:spacing w:after="160" w:line="276"/>
        <w:jc w:val="both"/>
      </w:pPr>
      <w:r>
        <w:rPr>
          <w:rFonts w:ascii="Arial" w:cs="Arial" w:eastAsia="Arial" w:hAnsi="Arial"/>
          <w:b/>
          <w:bCs/>
          <w:sz w:val="20"/>
          <w:szCs w:val="20"/>
        </w:rPr>
        <w:t xml:space="preserve">In the toroidal program: </w:t>
      </w:r>
      <w:r>
        <w:rPr>
          <w:rFonts w:ascii="Arial" w:cs="Arial" w:eastAsia="Arial" w:hAnsi="Arial"/>
          <w:sz w:val="20"/>
          <w:szCs w:val="20"/>
        </w:rPr>
        <w:t xml:space="preserve">(i) as marginal contraction, Δ(N+1)/Δ(N) ≈ 1/(1+ε) = f(1/ε)⁻¹; (ii) as CF evaluation operator, the step [0;1,b] in bottom-up computation; (iii) as Poincaré compactification, x → x/(1+|x|) = f(|x|)·x̂.</w:t>
      </w:r>
    </w:p>
    <w:p>
      <w:pPr>
        <w:spacing w:after="160" w:line="276"/>
        <w:jc w:val="both"/>
      </w:pPr>
      <w:r>
        <w:rPr>
          <w:rFonts w:ascii="Arial" w:cs="Arial" w:eastAsia="Arial" w:hAnsi="Arial"/>
          <w:b/>
          <w:bCs/>
          <w:sz w:val="20"/>
          <w:szCs w:val="20"/>
        </w:rPr>
        <w:t xml:space="preserve">In the digit-sum program: </w:t>
      </w:r>
      <w:r>
        <w:rPr>
          <w:rFonts w:ascii="Arial" w:cs="Arial" w:eastAsia="Arial" w:hAnsi="Arial"/>
          <w:sz w:val="20"/>
          <w:szCs w:val="20"/>
        </w:rPr>
        <w:t xml:space="preserve">f(b) is the fundamental step in evaluating the continued fraction of 1/p in base b. The Traversals paper studies f(b) = 1/(a+b) for general a; with a = 1, this is our operator. The Midy identity S_b(p) = (b−1)λ/2 can be understood as a fixed-point condition: when the CF evaluation reaches the complementary pair (dᵢ, b−1−dᵢ), iterated f on the pair produces the symmetric value (b−1)/2 per digit. The deficit in Q1 arises when this fixed-point condition fails (odd co-length, no perfect complement).</w:t>
      </w:r>
    </w:p>
    <w:p>
      <w:pPr>
        <w:spacing w:after="160" w:line="276"/>
        <w:jc w:val="both"/>
      </w:pPr>
      <w:r>
        <w:rPr>
          <w:rFonts w:ascii="Arial" w:cs="Arial" w:eastAsia="Arial" w:hAnsi="Arial"/>
          <w:b/>
          <w:bCs/>
          <w:i/>
          <w:iCs/>
          <w:sz w:val="20"/>
          <w:szCs w:val="20"/>
        </w:rPr>
        <w:t xml:space="preserve">Open question: </w:t>
      </w:r>
      <w:r>
        <w:rPr>
          <w:rFonts w:ascii="Arial" w:cs="Arial" w:eastAsia="Arial" w:hAnsi="Arial"/>
          <w:i/>
          <w:iCs/>
          <w:sz w:val="20"/>
          <w:szCs w:val="20"/>
        </w:rPr>
        <w:t xml:space="preserve">does the quadratic regime of f(b) ≈ b − b² (which governs the Poincaré curvature in the torus) have a counterpart in the digit-sum deficit? If S − k/2 scales as a quadratic correction in 1/k, the mechanism would be the same perturbative expansion of f applied to the orbit structure of 2 in (ℤ/pℤ)*.</w:t>
      </w:r>
    </w:p>
    <w:p>
      <w:r>
        <w:br w:type="page"/>
      </w:r>
    </w:p>
    <w:p>
      <w:pPr>
        <w:pStyle w:val="Heading1"/>
        <w:spacing w:before="360" w:after="200"/>
      </w:pPr>
      <w:r>
        <w:rPr>
          <w:rFonts w:ascii="Arial" w:cs="Arial" w:eastAsia="Arial" w:hAnsi="Arial"/>
          <w:b/>
          <w:bCs/>
          <w:sz w:val="32"/>
          <w:szCs w:val="32"/>
        </w:rPr>
        <w:t xml:space="preserve">9. Epistemic Status</w:t>
      </w:r>
    </w:p>
    <w:p>
      <w:pPr>
        <w:spacing w:after="160" w:line="276"/>
        <w:jc w:val="both"/>
      </w:pPr>
      <w:r>
        <w:rPr>
          <w:rFonts w:ascii="Arial" w:cs="Arial" w:eastAsia="Arial" w:hAnsi="Arial"/>
          <w:b/>
          <w:bCs/>
          <w:sz w:val="20"/>
          <w:szCs w:val="20"/>
        </w:rPr>
        <w:t xml:space="preserve">What is structural: </w:t>
      </w:r>
      <w:r>
        <w:rPr>
          <w:rFonts w:ascii="Arial" w:cs="Arial" w:eastAsia="Arial" w:hAnsi="Arial"/>
          <w:sz w:val="20"/>
          <w:szCs w:val="20"/>
        </w:rPr>
        <w:t xml:space="preserve">the identification of (ℤ/pℤ)* as the shared object is exact. The toroidal phase ω = ln(p) and the digit period k = ord₂(p) are both homomorphisms from (ℤ/pℤ)*. The appearance of f(b) in both programs is algebraically verified.</w:t>
      </w:r>
    </w:p>
    <w:p>
      <w:pPr>
        <w:spacing w:after="160" w:line="276"/>
        <w:jc w:val="both"/>
      </w:pPr>
      <w:r>
        <w:rPr>
          <w:rFonts w:ascii="Arial" w:cs="Arial" w:eastAsia="Arial" w:hAnsi="Arial"/>
          <w:b/>
          <w:bCs/>
          <w:sz w:val="20"/>
          <w:szCs w:val="20"/>
        </w:rPr>
        <w:t xml:space="preserve">What is analogical: </w:t>
      </w:r>
      <w:r>
        <w:rPr>
          <w:rFonts w:ascii="Arial" w:cs="Arial" w:eastAsia="Arial" w:hAnsi="Arial"/>
          <w:sz w:val="20"/>
          <w:szCs w:val="20"/>
        </w:rPr>
        <w:t xml:space="preserve">the Q3↔transient and Q5↔planarity correspondences are suggestive but not algebraically derived. The Q4↔drift-coherence parallel is qualitative (both show serial correlation), not quantitative (the mechanisms are different: group recursion vs. Euler product accumulation).</w:t>
      </w:r>
    </w:p>
    <w:p>
      <w:pPr>
        <w:spacing w:after="160" w:line="276"/>
        <w:jc w:val="both"/>
      </w:pPr>
      <w:r>
        <w:rPr>
          <w:rFonts w:ascii="Arial" w:cs="Arial" w:eastAsia="Arial" w:hAnsi="Arial"/>
          <w:b/>
          <w:bCs/>
          <w:sz w:val="20"/>
          <w:szCs w:val="20"/>
        </w:rPr>
        <w:t xml:space="preserve">What is speculative: </w:t>
      </w:r>
      <w:r>
        <w:rPr>
          <w:rFonts w:ascii="Arial" w:cs="Arial" w:eastAsia="Arial" w:hAnsi="Arial"/>
          <w:sz w:val="20"/>
          <w:szCs w:val="20"/>
        </w:rPr>
        <w:t xml:space="preserve">the open question in Section 8 (quadratic regime of f connecting Poincaré curvature to digit-sum deficit) is untested. The claim that the Q1 deficit “scales as v₂(p−1)” (proposed attack) has a toroidal prediction but no verification.</w:t>
      </w:r>
    </w:p>
    <w:p>
      <w:pPr>
        <w:spacing w:after="160" w:line="276"/>
        <w:jc w:val="both"/>
      </w:pPr>
      <w:r>
        <w:rPr>
          <w:rFonts w:ascii="Arial" w:cs="Arial" w:eastAsia="Arial" w:hAnsi="Arial"/>
          <w:b/>
          <w:bCs/>
          <w:sz w:val="20"/>
          <w:szCs w:val="20"/>
        </w:rPr>
        <w:t xml:space="preserve">What is consistent with Serie I methodology: </w:t>
      </w:r>
      <w:r>
        <w:rPr>
          <w:rFonts w:ascii="Arial" w:cs="Arial" w:eastAsia="Arial" w:hAnsi="Arial"/>
          <w:sz w:val="20"/>
          <w:szCs w:val="20"/>
        </w:rPr>
        <w:t xml:space="preserve">this note identifies connections between workstreams, classifies their epistemic status, and refrains from claiming more than the algebra supports. The correspondences are observations, not theorems. Their value is in suggesting that the two programs — toroidal embedding and digit-sum analysis — may be studying the same arithmetic through complementary channels, and that insights from one may transfer to the other.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Serie I Working Note — Two Windows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sz w:val="32"/>
      <w:szCs w:val="32"/>
    </w:rPr>
  </w:style>
  <w:style w:type="paragraph" w:styleId="Heading2">
    <w:name w:val="Heading 2"/>
    <w:basedOn w:val="Normal"/>
    <w:next w:val="Normal"/>
    <w:qFormat/>
    <w:pPr>
      <w:spacing w:before="280" w:after="16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2026-03-28T07:54:11.984Z</dcterms:created>
  <dcterms:modified xsi:type="dcterms:W3CDTF">2026-03-28T07:54:11.985Z</dcterms:modified>
</cp:coreProperties>
</file>

<file path=docProps/custom.xml><?xml version="1.0" encoding="utf-8"?>
<Properties xmlns="http://schemas.openxmlformats.org/officeDocument/2006/custom-properties" xmlns:vt="http://schemas.openxmlformats.org/officeDocument/2006/docPropsVTypes"/>
</file>