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DF0675" w:rsidP="00DF0675">
                    <w:pPr>
                      <w:pStyle w:val="NoSpacing"/>
                      <w:jc w:val="center"/>
                      <w:rPr>
                        <w:rFonts w:asciiTheme="majorHAnsi" w:eastAsiaTheme="majorEastAsia" w:hAnsiTheme="majorHAnsi" w:cstheme="majorBidi"/>
                        <w:sz w:val="72"/>
                        <w:szCs w:val="80"/>
                      </w:rPr>
                    </w:pPr>
                    <w:r>
                      <w:rPr>
                        <w:rFonts w:asciiTheme="majorHAnsi" w:eastAsiaTheme="minorHAnsi" w:hAnsiTheme="majorHAnsi"/>
                        <w:b/>
                        <w:bCs/>
                        <w:smallCaps/>
                        <w:color w:val="C0504D" w:themeColor="accent2"/>
                        <w:spacing w:val="5"/>
                        <w:sz w:val="72"/>
                        <w:szCs w:val="56"/>
                        <w:u w:val="single"/>
                        <w:lang w:eastAsia="en-US"/>
                      </w:rPr>
                      <w:t>Status Report Week 7</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05E39" w:rsidP="00AC5893">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CSSE463: IGVC</w:t>
                    </w:r>
                    <w:r w:rsidR="00AC5893">
                      <w:rPr>
                        <w:rFonts w:asciiTheme="majorHAnsi" w:hAnsiTheme="majorHAnsi"/>
                        <w:b/>
                        <w:bCs/>
                        <w:smallCaps/>
                        <w:color w:val="C0504D" w:themeColor="accent2"/>
                        <w:spacing w:val="5"/>
                        <w:sz w:val="56"/>
                        <w:szCs w:val="56"/>
                        <w:u w:val="single"/>
                      </w:rPr>
                      <w:t xml:space="preserve"> Vision</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DF0675" w:rsidP="00AC5893">
                    <w:pPr>
                      <w:pStyle w:val="NoSpacing"/>
                      <w:jc w:val="center"/>
                      <w:rPr>
                        <w:b/>
                        <w:bCs/>
                      </w:rPr>
                    </w:pPr>
                    <w:r>
                      <w:rPr>
                        <w:rFonts w:asciiTheme="majorHAnsi" w:hAnsiTheme="majorHAnsi"/>
                        <w:smallCaps/>
                        <w:color w:val="C0504D" w:themeColor="accent2"/>
                        <w:sz w:val="36"/>
                        <w:szCs w:val="36"/>
                      </w:rPr>
                      <w:t xml:space="preserve">Ander </w:t>
                    </w:r>
                    <w:proofErr w:type="spellStart"/>
                    <w:r>
                      <w:rPr>
                        <w:rFonts w:asciiTheme="majorHAnsi" w:hAnsiTheme="majorHAnsi"/>
                        <w:smallCaps/>
                        <w:color w:val="C0504D" w:themeColor="accent2"/>
                        <w:sz w:val="36"/>
                        <w:szCs w:val="36"/>
                      </w:rPr>
                      <w:t>Solorzano;Ruffin</w:t>
                    </w:r>
                    <w:proofErr w:type="spellEnd"/>
                    <w:r>
                      <w:rPr>
                        <w:rFonts w:asciiTheme="majorHAnsi" w:hAnsiTheme="majorHAnsi"/>
                        <w:smallCaps/>
                        <w:color w:val="C0504D" w:themeColor="accent2"/>
                        <w:sz w:val="36"/>
                        <w:szCs w:val="36"/>
                      </w:rPr>
                      <w:t xml:space="preserve"> </w:t>
                    </w:r>
                    <w:proofErr w:type="spellStart"/>
                    <w:r>
                      <w:rPr>
                        <w:rFonts w:asciiTheme="majorHAnsi" w:hAnsiTheme="majorHAnsi"/>
                        <w:smallCaps/>
                        <w:color w:val="C0504D" w:themeColor="accent2"/>
                        <w:sz w:val="36"/>
                        <w:szCs w:val="36"/>
                      </w:rPr>
                      <w:t>White;Kurtis</w:t>
                    </w:r>
                    <w:proofErr w:type="spellEnd"/>
                    <w:r>
                      <w:rPr>
                        <w:rFonts w:asciiTheme="majorHAnsi" w:hAnsiTheme="majorHAnsi"/>
                        <w:smallCaps/>
                        <w:color w:val="C0504D" w:themeColor="accent2"/>
                        <w:sz w:val="36"/>
                        <w:szCs w:val="36"/>
                      </w:rPr>
                      <w:t xml:space="preserve"> </w:t>
                    </w:r>
                    <w:proofErr w:type="spellStart"/>
                    <w:r>
                      <w:rPr>
                        <w:rFonts w:asciiTheme="majorHAnsi" w:hAnsiTheme="majorHAnsi"/>
                        <w:smallCaps/>
                        <w:color w:val="C0504D" w:themeColor="accent2"/>
                        <w:sz w:val="36"/>
                        <w:szCs w:val="36"/>
                      </w:rPr>
                      <w:t>Zimmerman;Donnie</w:t>
                    </w:r>
                    <w:proofErr w:type="spellEnd"/>
                    <w:r>
                      <w:rPr>
                        <w:rFonts w:asciiTheme="majorHAnsi" w:hAnsiTheme="majorHAnsi"/>
                        <w:smallCaps/>
                        <w:color w:val="C0504D" w:themeColor="accent2"/>
                        <w:sz w:val="36"/>
                        <w:szCs w:val="36"/>
                      </w:rPr>
                      <w:t xml:space="preserve"> </w:t>
                    </w:r>
                    <w:proofErr w:type="spellStart"/>
                    <w:r>
                      <w:rPr>
                        <w:rFonts w:asciiTheme="majorHAnsi" w:hAnsiTheme="majorHAnsi"/>
                        <w:smallCaps/>
                        <w:color w:val="C0504D" w:themeColor="accent2"/>
                        <w:sz w:val="36"/>
                        <w:szCs w:val="36"/>
                      </w:rPr>
                      <w:t>Quamme</w:t>
                    </w:r>
                    <w:proofErr w:type="spellEnd"/>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551CCD" w:rsidRDefault="00551CCD" w:rsidP="00734D97">
          <w:pPr>
            <w:pStyle w:val="Default"/>
            <w:jc w:val="both"/>
          </w:pPr>
          <w:r>
            <w:lastRenderedPageBreak/>
            <w:t xml:space="preserve">The team managed to come together and agreed on a plan to accomplish all the deliverables by the expected project due date. The team proposed a rough sketch of the project plan that outlines all of the necessary steps in order to accomplish all the tasks. In addition to the project planning, each member of the team set-up a </w:t>
          </w:r>
          <w:proofErr w:type="spellStart"/>
          <w:r>
            <w:t>GitHub</w:t>
          </w:r>
          <w:proofErr w:type="spellEnd"/>
          <w:r w:rsidR="00C57F43">
            <w:t xml:space="preserve"> account (for all code-related work and deliverables) and a </w:t>
          </w:r>
          <w:proofErr w:type="spellStart"/>
          <w:r w:rsidR="00C57F43">
            <w:t>Dropbox</w:t>
          </w:r>
          <w:proofErr w:type="spellEnd"/>
          <w:r>
            <w:t xml:space="preserve"> account</w:t>
          </w:r>
          <w:r w:rsidR="00C57F43">
            <w:t xml:space="preserve"> (for image storing)</w:t>
          </w:r>
          <w:r>
            <w:t xml:space="preserve"> to be used as the team repository. Ander added pictures to the repository that includes pictures from the actual IGVC as well as other field-test images. </w:t>
          </w:r>
        </w:p>
        <w:p w:rsidR="00551CCD" w:rsidRDefault="00551CCD" w:rsidP="00734D97">
          <w:pPr>
            <w:pStyle w:val="Default"/>
            <w:jc w:val="both"/>
          </w:pPr>
        </w:p>
        <w:p w:rsidR="006A4270" w:rsidRDefault="006A4270" w:rsidP="006A4270">
          <w:r>
            <w:rPr>
              <w:b/>
              <w:bCs/>
            </w:rPr>
            <w:t>Hardware Mounting</w:t>
          </w:r>
        </w:p>
        <w:p w:rsidR="000E09E7" w:rsidRDefault="000E09E7" w:rsidP="00734D97">
          <w:pPr>
            <w:pStyle w:val="Default"/>
            <w:jc w:val="both"/>
          </w:pPr>
          <w:r>
            <w:t xml:space="preserve">This week, Ander and Ruffin got the design approval check-off for constructing the mounting bar for the stereoscopic cameras. The design includes a flexible mounting schematic where the spacing between the sensors can be controlled by 2 centimeter increments. The design also includes robust mounting solutions to prevent undesirable augmented movements that would later invalidate the calibration of the cameras after operation. </w:t>
          </w:r>
          <w:r w:rsidR="006A4270">
            <w:t>The 2 cameras that we are using are Logitech HD1080p cameras.</w:t>
          </w:r>
        </w:p>
        <w:p w:rsidR="006A4270" w:rsidRDefault="006A4270" w:rsidP="00734D97">
          <w:pPr>
            <w:pStyle w:val="Default"/>
            <w:jc w:val="both"/>
          </w:pPr>
        </w:p>
        <w:p w:rsidR="00551CCD" w:rsidRDefault="006A4270" w:rsidP="006A4270">
          <w:r>
            <w:rPr>
              <w:b/>
              <w:bCs/>
            </w:rPr>
            <w:t>Stereoscopic Calibration and Image Acquisition</w:t>
          </w:r>
        </w:p>
        <w:p w:rsidR="00551CCD" w:rsidRDefault="00551CCD" w:rsidP="00734D97">
          <w:pPr>
            <w:pStyle w:val="Default"/>
            <w:jc w:val="both"/>
          </w:pPr>
          <w:r>
            <w:t>Using LabVIEW as our main programming language, we managed to experiment with native machine and manufacturing vision algorithms to calibrate and test our stereoscopic cameras. We are trying to see how calibration file can be useful for other software applications such as MATLAB.</w:t>
          </w:r>
        </w:p>
        <w:p w:rsidR="000E09E7" w:rsidRDefault="000E09E7" w:rsidP="00734D97">
          <w:pPr>
            <w:pStyle w:val="Default"/>
            <w:jc w:val="both"/>
          </w:pPr>
        </w:p>
        <w:p w:rsidR="000E09E7" w:rsidRDefault="000E09E7" w:rsidP="00734D97">
          <w:pPr>
            <w:pStyle w:val="Default"/>
            <w:jc w:val="both"/>
          </w:pPr>
          <w:r>
            <w:t xml:space="preserve">Ruffin also created an acquisition VI (visual instrument) that allows the user to save and record images from the stereoscopic USB cameras. </w:t>
          </w:r>
        </w:p>
        <w:p w:rsidR="000E09E7" w:rsidRDefault="000E09E7" w:rsidP="00734D97">
          <w:pPr>
            <w:pStyle w:val="Default"/>
            <w:jc w:val="both"/>
          </w:pPr>
        </w:p>
        <w:p w:rsidR="00551CCD" w:rsidRDefault="000E09E7" w:rsidP="00734D97">
          <w:pPr>
            <w:pStyle w:val="Default"/>
            <w:jc w:val="both"/>
          </w:pPr>
          <w:r>
            <w:t>The VI includes</w:t>
          </w:r>
          <w:r w:rsidR="00551CCD">
            <w:t xml:space="preserve"> the following features:</w:t>
          </w:r>
        </w:p>
        <w:p w:rsidR="000E09E7" w:rsidRDefault="00551CCD" w:rsidP="00551CCD">
          <w:pPr>
            <w:pStyle w:val="Default"/>
            <w:numPr>
              <w:ilvl w:val="0"/>
              <w:numId w:val="8"/>
            </w:numPr>
            <w:jc w:val="both"/>
          </w:pPr>
          <w:r>
            <w:t>R</w:t>
          </w:r>
          <w:r w:rsidR="000E09E7">
            <w:t>eal-time visual feedback for</w:t>
          </w:r>
          <w:r>
            <w:t xml:space="preserve"> both, left and right, cameras.</w:t>
          </w:r>
        </w:p>
        <w:p w:rsidR="00551CCD" w:rsidRDefault="00551CCD" w:rsidP="00551CCD">
          <w:pPr>
            <w:pStyle w:val="Default"/>
            <w:numPr>
              <w:ilvl w:val="0"/>
              <w:numId w:val="8"/>
            </w:numPr>
            <w:jc w:val="both"/>
          </w:pPr>
          <w:r>
            <w:t>Histogram representation of HSV and RGB color spaces.</w:t>
          </w:r>
        </w:p>
        <w:p w:rsidR="00551CCD" w:rsidRDefault="00551CCD" w:rsidP="00551CCD">
          <w:pPr>
            <w:pStyle w:val="Default"/>
            <w:numPr>
              <w:ilvl w:val="0"/>
              <w:numId w:val="8"/>
            </w:numPr>
            <w:jc w:val="both"/>
          </w:pPr>
          <w:r>
            <w:t>Status about the frame rate, frame resolution, and index of the current picture saved.</w:t>
          </w:r>
        </w:p>
        <w:p w:rsidR="00551CCD" w:rsidRDefault="00551CCD" w:rsidP="00551CCD">
          <w:pPr>
            <w:pStyle w:val="Default"/>
            <w:jc w:val="both"/>
          </w:pPr>
        </w:p>
        <w:p w:rsidR="007E47AD" w:rsidRDefault="007E47AD" w:rsidP="007E47AD">
          <w:pPr>
            <w:jc w:val="both"/>
          </w:pPr>
          <w:r>
            <w:rPr>
              <w:b/>
              <w:bCs/>
            </w:rPr>
            <w:t>Grass Filter</w:t>
          </w:r>
        </w:p>
        <w:p w:rsidR="007E47AD" w:rsidRDefault="007E47AD" w:rsidP="007E47AD">
          <w:pPr>
            <w:jc w:val="both"/>
          </w:pPr>
          <w:r>
            <w:t>Grass filter work began with attempting to classify points manually in HSV space, similarly to the way the fruit detection project was completed. We decided that this method, while fast, was not sufficient for this project due to the fact that it could not identify lines that were further away from the robot, and spots on the ground that did not have much grass were frequently identified as line pixels. Dilation and erosion were not enough to overcome these problems. Figure 1 contains images that are representative of the problem described. Some lines were identified as substantially grass, and other regions of grass that were patchy were identified as lines.</w:t>
          </w:r>
        </w:p>
        <w:tbl>
          <w:tblPr>
            <w:tblStyle w:val="TableGrid"/>
            <w:tblW w:w="0" w:type="auto"/>
            <w:tblLook w:val="04A0" w:firstRow="1" w:lastRow="0" w:firstColumn="1" w:lastColumn="0" w:noHBand="0" w:noVBand="1"/>
          </w:tblPr>
          <w:tblGrid>
            <w:gridCol w:w="4788"/>
            <w:gridCol w:w="4788"/>
          </w:tblGrid>
          <w:tr w:rsidR="007E47AD" w:rsidTr="00F07051">
            <w:tc>
              <w:tcPr>
                <w:tcW w:w="4788" w:type="dxa"/>
                <w:tcBorders>
                  <w:top w:val="nil"/>
                  <w:left w:val="nil"/>
                  <w:bottom w:val="nil"/>
                  <w:right w:val="nil"/>
                </w:tcBorders>
              </w:tcPr>
              <w:p w:rsidR="007E47AD" w:rsidRDefault="007E47AD" w:rsidP="00F07051">
                <w:pPr>
                  <w:jc w:val="center"/>
                </w:pPr>
                <w:r>
                  <w:rPr>
                    <w:noProof/>
                  </w:rPr>
                  <w:lastRenderedPageBreak/>
                  <w:drawing>
                    <wp:inline distT="0" distB="0" distL="0" distR="0" wp14:anchorId="36A7979D" wp14:editId="56703DE5">
                      <wp:extent cx="2406650" cy="1812204"/>
                      <wp:effectExtent l="0" t="0" r="0" b="0"/>
                      <wp:docPr id="2" name="Picture 2" descr="img14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1468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416094" cy="1819315"/>
                              </a:xfrm>
                              <a:prstGeom prst="rect">
                                <a:avLst/>
                              </a:prstGeom>
                              <a:noFill/>
                              <a:ln>
                                <a:noFill/>
                              </a:ln>
                            </pic:spPr>
                          </pic:pic>
                        </a:graphicData>
                      </a:graphic>
                    </wp:inline>
                  </w:drawing>
                </w:r>
              </w:p>
            </w:tc>
            <w:tc>
              <w:tcPr>
                <w:tcW w:w="4788" w:type="dxa"/>
                <w:tcBorders>
                  <w:top w:val="nil"/>
                  <w:left w:val="nil"/>
                  <w:bottom w:val="nil"/>
                  <w:right w:val="nil"/>
                </w:tcBorders>
              </w:tcPr>
              <w:p w:rsidR="007E47AD" w:rsidRDefault="007E47AD" w:rsidP="00F07051">
                <w:pPr>
                  <w:jc w:val="center"/>
                </w:pPr>
                <w:r>
                  <w:rPr>
                    <w:noProof/>
                  </w:rPr>
                  <w:drawing>
                    <wp:inline distT="0" distB="0" distL="0" distR="0" wp14:anchorId="2B036E8F" wp14:editId="3DB51ACC">
                      <wp:extent cx="2834640" cy="1995688"/>
                      <wp:effectExtent l="0" t="0" r="3810" b="5080"/>
                      <wp:docPr id="1" name="Picture 1" descr="filtered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edIm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834640" cy="1995688"/>
                              </a:xfrm>
                              <a:prstGeom prst="rect">
                                <a:avLst/>
                              </a:prstGeom>
                              <a:noFill/>
                              <a:ln>
                                <a:noFill/>
                              </a:ln>
                            </pic:spPr>
                          </pic:pic>
                        </a:graphicData>
                      </a:graphic>
                    </wp:inline>
                  </w:drawing>
                </w:r>
              </w:p>
            </w:tc>
          </w:tr>
          <w:tr w:rsidR="007E47AD" w:rsidTr="00F07051">
            <w:tc>
              <w:tcPr>
                <w:tcW w:w="9576" w:type="dxa"/>
                <w:gridSpan w:val="2"/>
                <w:tcBorders>
                  <w:top w:val="nil"/>
                  <w:left w:val="nil"/>
                  <w:bottom w:val="nil"/>
                  <w:right w:val="nil"/>
                </w:tcBorders>
              </w:tcPr>
              <w:p w:rsidR="007E47AD" w:rsidRPr="006A4270" w:rsidRDefault="007E47AD" w:rsidP="00F07051">
                <w:pPr>
                  <w:jc w:val="center"/>
                  <w:rPr>
                    <w:sz w:val="18"/>
                    <w:szCs w:val="18"/>
                  </w:rPr>
                </w:pPr>
                <w:r w:rsidRPr="006A4270">
                  <w:rPr>
                    <w:sz w:val="18"/>
                    <w:szCs w:val="18"/>
                  </w:rPr>
                  <w:t>Figure 1: Demonstrating problems with manual pixel classifications.</w:t>
                </w:r>
              </w:p>
            </w:tc>
          </w:tr>
        </w:tbl>
        <w:p w:rsidR="007E47AD" w:rsidRDefault="007E47AD" w:rsidP="007E47AD">
          <w:pPr>
            <w:jc w:val="both"/>
            <w:rPr>
              <w:sz w:val="24"/>
              <w:szCs w:val="24"/>
            </w:rPr>
          </w:pPr>
        </w:p>
        <w:p w:rsidR="007E47AD" w:rsidRDefault="007E47AD" w:rsidP="007E47AD">
          <w:pPr>
            <w:jc w:val="both"/>
          </w:pPr>
          <w:r>
            <w:t xml:space="preserve">After deciding a manual classifier was not enough to complete a grass filter we began work on a SVM to complete the grass filter. This will classify each pixel in RGB space. The first part of this work is acquiring lots of pixels of known type (grass or non-grass) in order to train the SVM. To further this goal we used </w:t>
          </w:r>
          <w:proofErr w:type="spellStart"/>
          <w:r>
            <w:t>ginput</w:t>
          </w:r>
          <w:proofErr w:type="spellEnd"/>
          <w:r>
            <w:t xml:space="preserve"> to allow a user to generate selections from each image that are grass pixels and others that are not.</w:t>
          </w:r>
        </w:p>
        <w:p w:rsidR="006A4270" w:rsidRDefault="006A4270" w:rsidP="006A4270">
          <w:r>
            <w:rPr>
              <w:b/>
              <w:bCs/>
            </w:rPr>
            <w:t>Line detection</w:t>
          </w:r>
        </w:p>
        <w:p w:rsidR="006A4270" w:rsidRDefault="006A4270" w:rsidP="006A4270">
          <w:pPr>
            <w:jc w:val="both"/>
          </w:pPr>
          <w:r>
            <w:t>We began line detection this week using the algorithm presented in the “GOLD Report” which we previously reviewed. The algorithm works by finding areas of increased relative brightness in order to identify white lines despite the overall brightness or shading in the image. The underlying assumption is that the white lines will be the brightest pixels among the neighborhood of pixels to which they belong. Then, given a specified width we expect the lane line to be, the algorithm will pick out pixels which have a greater brightness than the pixels outside that width. When areas of potential white lines are found and identified via a binary image, we then pass that binary image to a Hough transform to find the significant lines, which should correspond to the lane lines in the grass.</w:t>
          </w:r>
        </w:p>
        <w:p w:rsidR="006A4270" w:rsidRDefault="006A4270" w:rsidP="006A4270">
          <w:pPr>
            <w:jc w:val="both"/>
          </w:pPr>
          <w:r>
            <w:t xml:space="preserve">Currently, this method struggles because we have not combined grass detection with this algorithm. Areas of patchy grass sometimes have </w:t>
          </w:r>
          <w:proofErr w:type="gramStart"/>
          <w:r>
            <w:t>a brightness</w:t>
          </w:r>
          <w:proofErr w:type="gramEnd"/>
          <w:r>
            <w:t xml:space="preserve"> similar to the lane lines, so if we can filter the majority of those out, the line identification strength can be greatly improved.</w:t>
          </w:r>
        </w:p>
        <w:p w:rsidR="00316354" w:rsidRDefault="00316354" w:rsidP="006A4270">
          <w:pPr>
            <w:pStyle w:val="Default"/>
            <w:jc w:val="both"/>
          </w:pPr>
        </w:p>
        <w:p w:rsidR="00316354" w:rsidRDefault="00316354" w:rsidP="006A4270">
          <w:pPr>
            <w:pStyle w:val="Defaul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B3D9C" w:rsidTr="00316354">
            <w:tc>
              <w:tcPr>
                <w:tcW w:w="4788" w:type="dxa"/>
              </w:tcPr>
              <w:p w:rsidR="00BB3D9C" w:rsidRDefault="00BB3D9C" w:rsidP="006A4270">
                <w:pPr>
                  <w:jc w:val="both"/>
                </w:pPr>
              </w:p>
              <w:p w:rsidR="004E3E0A" w:rsidRDefault="004E3E0A" w:rsidP="006A4270">
                <w:pPr>
                  <w:jc w:val="both"/>
                </w:pPr>
              </w:p>
            </w:tc>
            <w:tc>
              <w:tcPr>
                <w:tcW w:w="4788" w:type="dxa"/>
              </w:tcPr>
              <w:p w:rsidR="00BB3D9C" w:rsidRDefault="00BB3D9C" w:rsidP="006A4270">
                <w:pPr>
                  <w:pStyle w:val="Default"/>
                  <w:jc w:val="both"/>
                  <w:rPr>
                    <w:sz w:val="22"/>
                    <w:szCs w:val="22"/>
                  </w:rPr>
                </w:pPr>
              </w:p>
            </w:tc>
          </w:tr>
        </w:tbl>
        <w:p w:rsidR="007E47AD" w:rsidRPr="00316354" w:rsidRDefault="007E47AD" w:rsidP="006A4270">
          <w:pPr>
            <w:jc w:val="both"/>
            <w:rPr>
              <w:rStyle w:val="SubtleReference"/>
              <w:u w:val="none"/>
            </w:rPr>
          </w:pPr>
        </w:p>
        <w:tbl>
          <w:tblPr>
            <w:tblpPr w:leftFromText="187" w:rightFromText="187" w:horzAnchor="margin" w:tblpXSpec="center" w:tblpYSpec="bottom"/>
            <w:tblW w:w="5038" w:type="pct"/>
            <w:tblLook w:val="04A0" w:firstRow="1" w:lastRow="0" w:firstColumn="1" w:lastColumn="0" w:noHBand="0" w:noVBand="1"/>
          </w:tblPr>
          <w:tblGrid>
            <w:gridCol w:w="9649"/>
          </w:tblGrid>
          <w:tr w:rsidR="00691697" w:rsidRPr="00070443" w:rsidTr="007C3F0B">
            <w:sdt>
              <w:sdtPr>
                <w:rPr>
                  <w:rFonts w:ascii="Garamond" w:hAnsi="Garamond"/>
                  <w:smallCaps/>
                  <w:color w:val="C0504D" w:themeColor="accent2"/>
                  <w:sz w:val="20"/>
                  <w:szCs w:val="20"/>
                  <w:u w:val="single"/>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91697" w:rsidRPr="00070443" w:rsidRDefault="001536B5" w:rsidP="006A4270">
                    <w:pPr>
                      <w:pStyle w:val="NoSpacing"/>
                      <w:jc w:val="both"/>
                      <w:rPr>
                        <w:rFonts w:ascii="Garamond" w:hAnsi="Garamond"/>
                        <w:sz w:val="20"/>
                        <w:szCs w:val="20"/>
                      </w:rPr>
                    </w:pPr>
                    <w:r w:rsidRPr="00070443">
                      <w:rPr>
                        <w:rFonts w:ascii="Garamond" w:hAnsi="Garamond"/>
                        <w:sz w:val="20"/>
                        <w:szCs w:val="20"/>
                      </w:rPr>
                      <w:t xml:space="preserve">     </w:t>
                    </w:r>
                  </w:p>
                </w:tc>
              </w:sdtContent>
            </w:sdt>
          </w:tr>
        </w:tbl>
      </w:sdtContent>
    </w:sdt>
    <w:p w:rsidR="00734D97" w:rsidRPr="006A4270" w:rsidRDefault="007E47AD" w:rsidP="006A4270">
      <w:pPr>
        <w:jc w:val="both"/>
        <w:rPr>
          <w:rFonts w:asciiTheme="majorHAnsi" w:hAnsiTheme="majorHAnsi"/>
          <w:sz w:val="24"/>
          <w:szCs w:val="24"/>
        </w:rPr>
      </w:pPr>
      <w:proofErr w:type="spellStart"/>
      <w:r>
        <w:rPr>
          <w:rFonts w:asciiTheme="majorHAnsi" w:hAnsiTheme="majorHAnsi"/>
          <w:sz w:val="24"/>
          <w:szCs w:val="24"/>
        </w:rPr>
        <w:t>GitHub</w:t>
      </w:r>
      <w:proofErr w:type="spellEnd"/>
      <w:r>
        <w:rPr>
          <w:rFonts w:asciiTheme="majorHAnsi" w:hAnsiTheme="majorHAnsi"/>
          <w:sz w:val="24"/>
          <w:szCs w:val="24"/>
        </w:rPr>
        <w:t xml:space="preserve"> Repository Location: </w:t>
      </w:r>
      <w:hyperlink r:id="rId14" w:history="1">
        <w:r w:rsidRPr="00001C49">
          <w:rPr>
            <w:rStyle w:val="Hyperlink"/>
            <w:rFonts w:asciiTheme="majorHAnsi" w:hAnsiTheme="majorHAnsi"/>
            <w:sz w:val="24"/>
            <w:szCs w:val="24"/>
          </w:rPr>
          <w:t>https://github.com/rhrt/IGVC-2013-Imaging</w:t>
        </w:r>
      </w:hyperlink>
      <w:r>
        <w:rPr>
          <w:rFonts w:asciiTheme="majorHAnsi" w:hAnsiTheme="majorHAnsi"/>
          <w:sz w:val="24"/>
          <w:szCs w:val="24"/>
        </w:rPr>
        <w:t xml:space="preserve"> </w:t>
      </w:r>
    </w:p>
    <w:sectPr w:rsidR="00734D97" w:rsidRPr="006A4270" w:rsidSect="0069169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E41" w:rsidRDefault="00A13E41" w:rsidP="00226CC7">
      <w:pPr>
        <w:spacing w:after="0" w:line="240" w:lineRule="auto"/>
      </w:pPr>
      <w:r>
        <w:separator/>
      </w:r>
    </w:p>
  </w:endnote>
  <w:endnote w:type="continuationSeparator" w:id="0">
    <w:p w:rsidR="00A13E41" w:rsidRDefault="00A13E41"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6CC7" w:rsidRDefault="00226C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47AD">
          <w:rPr>
            <w:noProof/>
          </w:rPr>
          <w:t>1</w:t>
        </w:r>
        <w:r>
          <w:rPr>
            <w:noProof/>
          </w:rPr>
          <w:fldChar w:fldCharType="end"/>
        </w:r>
        <w:r>
          <w:t xml:space="preserve"> | </w:t>
        </w:r>
        <w:r>
          <w:rPr>
            <w:color w:val="808080" w:themeColor="background1" w:themeShade="80"/>
            <w:spacing w:val="60"/>
          </w:rPr>
          <w:t>Page</w:t>
        </w:r>
      </w:p>
    </w:sdtContent>
  </w:sdt>
  <w:p w:rsidR="00226CC7" w:rsidRDefault="00226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E41" w:rsidRDefault="00A13E41" w:rsidP="00226CC7">
      <w:pPr>
        <w:spacing w:after="0" w:line="240" w:lineRule="auto"/>
      </w:pPr>
      <w:r>
        <w:separator/>
      </w:r>
    </w:p>
  </w:footnote>
  <w:footnote w:type="continuationSeparator" w:id="0">
    <w:p w:rsidR="00A13E41" w:rsidRDefault="00A13E41"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902048"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1-20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902048" w:rsidRDefault="00005E39">
              <w:pPr>
                <w:pStyle w:val="Header"/>
                <w:jc w:val="right"/>
                <w:rPr>
                  <w:color w:val="FFFFFF" w:themeColor="background1"/>
                </w:rPr>
              </w:pPr>
              <w:r>
                <w:rPr>
                  <w:color w:val="FFFFFF" w:themeColor="background1"/>
                </w:rPr>
                <w:t>January 20, 2013</w:t>
              </w:r>
            </w:p>
          </w:tc>
        </w:sdtContent>
      </w:sdt>
      <w:tc>
        <w:tcPr>
          <w:tcW w:w="4142" w:type="pct"/>
          <w:tcBorders>
            <w:bottom w:val="single" w:sz="4" w:space="0" w:color="auto"/>
          </w:tcBorders>
          <w:vAlign w:val="bottom"/>
        </w:tcPr>
        <w:p w:rsidR="00902048" w:rsidRDefault="00902048"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DF0675">
                <w:rPr>
                  <w:b/>
                  <w:bCs/>
                  <w:caps/>
                  <w:sz w:val="24"/>
                </w:rPr>
                <w:t>Status Report Week 7</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sidR="00DF0675">
                <w:rPr>
                  <w:rFonts w:cstheme="minorHAnsi"/>
                  <w:b/>
                  <w:smallCaps/>
                  <w:color w:val="C0504D" w:themeColor="accent2"/>
                  <w:sz w:val="24"/>
                  <w:szCs w:val="24"/>
                </w:rPr>
                <w:t xml:space="preserve">Ander </w:t>
              </w:r>
              <w:proofErr w:type="spellStart"/>
              <w:r w:rsidR="00DF0675">
                <w:rPr>
                  <w:rFonts w:cstheme="minorHAnsi"/>
                  <w:b/>
                  <w:smallCaps/>
                  <w:color w:val="C0504D" w:themeColor="accent2"/>
                  <w:sz w:val="24"/>
                  <w:szCs w:val="24"/>
                </w:rPr>
                <w:t>Solorzano;Ruffin</w:t>
              </w:r>
              <w:proofErr w:type="spellEnd"/>
              <w:r w:rsidR="00DF0675">
                <w:rPr>
                  <w:rFonts w:cstheme="minorHAnsi"/>
                  <w:b/>
                  <w:smallCaps/>
                  <w:color w:val="C0504D" w:themeColor="accent2"/>
                  <w:sz w:val="24"/>
                  <w:szCs w:val="24"/>
                </w:rPr>
                <w:t xml:space="preserve"> </w:t>
              </w:r>
              <w:proofErr w:type="spellStart"/>
              <w:r w:rsidR="00DF0675">
                <w:rPr>
                  <w:rFonts w:cstheme="minorHAnsi"/>
                  <w:b/>
                  <w:smallCaps/>
                  <w:color w:val="C0504D" w:themeColor="accent2"/>
                  <w:sz w:val="24"/>
                  <w:szCs w:val="24"/>
                </w:rPr>
                <w:t>White;Kurtis</w:t>
              </w:r>
              <w:proofErr w:type="spellEnd"/>
              <w:r w:rsidR="00DF0675">
                <w:rPr>
                  <w:rFonts w:cstheme="minorHAnsi"/>
                  <w:b/>
                  <w:smallCaps/>
                  <w:color w:val="C0504D" w:themeColor="accent2"/>
                  <w:sz w:val="24"/>
                  <w:szCs w:val="24"/>
                </w:rPr>
                <w:t xml:space="preserve"> </w:t>
              </w:r>
              <w:proofErr w:type="spellStart"/>
              <w:r w:rsidR="00DF0675">
                <w:rPr>
                  <w:rFonts w:cstheme="minorHAnsi"/>
                  <w:b/>
                  <w:smallCaps/>
                  <w:color w:val="C0504D" w:themeColor="accent2"/>
                  <w:sz w:val="24"/>
                  <w:szCs w:val="24"/>
                </w:rPr>
                <w:t>Zimmerman;Donnie</w:t>
              </w:r>
              <w:proofErr w:type="spellEnd"/>
              <w:r w:rsidR="00DF0675">
                <w:rPr>
                  <w:rFonts w:cstheme="minorHAnsi"/>
                  <w:b/>
                  <w:smallCaps/>
                  <w:color w:val="C0504D" w:themeColor="accent2"/>
                  <w:sz w:val="24"/>
                  <w:szCs w:val="24"/>
                </w:rPr>
                <w:t xml:space="preserve"> </w:t>
              </w:r>
              <w:proofErr w:type="spellStart"/>
              <w:r w:rsidR="00DF0675">
                <w:rPr>
                  <w:rFonts w:cstheme="minorHAnsi"/>
                  <w:b/>
                  <w:smallCaps/>
                  <w:color w:val="C0504D" w:themeColor="accent2"/>
                  <w:sz w:val="24"/>
                  <w:szCs w:val="24"/>
                </w:rPr>
                <w:t>Quamme</w:t>
              </w:r>
              <w:proofErr w:type="spellEnd"/>
            </w:sdtContent>
          </w:sdt>
        </w:p>
      </w:tc>
    </w:tr>
  </w:tbl>
  <w:p w:rsidR="00902048" w:rsidRDefault="00902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88B2104"/>
    <w:multiLevelType w:val="hybridMultilevel"/>
    <w:tmpl w:val="0B6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E7DFAC7-8576-439D-B001-DF01E5DF9023}"/>
    <w:docVar w:name="dgnword-eventsink" w:val="89625840"/>
  </w:docVars>
  <w:rsids>
    <w:rsidRoot w:val="00920F39"/>
    <w:rsid w:val="000014D7"/>
    <w:rsid w:val="0000507D"/>
    <w:rsid w:val="00005E39"/>
    <w:rsid w:val="00014CAE"/>
    <w:rsid w:val="0002493B"/>
    <w:rsid w:val="00035F24"/>
    <w:rsid w:val="000406DE"/>
    <w:rsid w:val="0004346F"/>
    <w:rsid w:val="00054165"/>
    <w:rsid w:val="00057B2C"/>
    <w:rsid w:val="00070443"/>
    <w:rsid w:val="0007693E"/>
    <w:rsid w:val="00081274"/>
    <w:rsid w:val="000860E6"/>
    <w:rsid w:val="00087A16"/>
    <w:rsid w:val="00092100"/>
    <w:rsid w:val="000A2C8E"/>
    <w:rsid w:val="000A43F1"/>
    <w:rsid w:val="000B1E70"/>
    <w:rsid w:val="000B3A03"/>
    <w:rsid w:val="000B3B23"/>
    <w:rsid w:val="000C15D6"/>
    <w:rsid w:val="000C5CC9"/>
    <w:rsid w:val="000D5F4E"/>
    <w:rsid w:val="000E09E7"/>
    <w:rsid w:val="000E1E01"/>
    <w:rsid w:val="000F5B53"/>
    <w:rsid w:val="000F70A1"/>
    <w:rsid w:val="00103E39"/>
    <w:rsid w:val="00105AFB"/>
    <w:rsid w:val="001311A3"/>
    <w:rsid w:val="00131F5C"/>
    <w:rsid w:val="001356F4"/>
    <w:rsid w:val="001366CB"/>
    <w:rsid w:val="00152BE7"/>
    <w:rsid w:val="001536B5"/>
    <w:rsid w:val="00160F6E"/>
    <w:rsid w:val="001627B6"/>
    <w:rsid w:val="001656E1"/>
    <w:rsid w:val="001852A7"/>
    <w:rsid w:val="00197ED0"/>
    <w:rsid w:val="001A6A73"/>
    <w:rsid w:val="001C0CEB"/>
    <w:rsid w:val="001D09A1"/>
    <w:rsid w:val="001E2C85"/>
    <w:rsid w:val="001E5F2B"/>
    <w:rsid w:val="001F21BC"/>
    <w:rsid w:val="001F28B5"/>
    <w:rsid w:val="001F4D4D"/>
    <w:rsid w:val="0020351B"/>
    <w:rsid w:val="00203DEA"/>
    <w:rsid w:val="00211F80"/>
    <w:rsid w:val="00212138"/>
    <w:rsid w:val="00226CC7"/>
    <w:rsid w:val="00234137"/>
    <w:rsid w:val="00255760"/>
    <w:rsid w:val="00255E3F"/>
    <w:rsid w:val="00256BA1"/>
    <w:rsid w:val="0026111F"/>
    <w:rsid w:val="002614BF"/>
    <w:rsid w:val="002753C3"/>
    <w:rsid w:val="00276FF9"/>
    <w:rsid w:val="00277E9E"/>
    <w:rsid w:val="00277F63"/>
    <w:rsid w:val="00284FD2"/>
    <w:rsid w:val="002A0170"/>
    <w:rsid w:val="002A36A2"/>
    <w:rsid w:val="002A4F35"/>
    <w:rsid w:val="002B7041"/>
    <w:rsid w:val="002D3F86"/>
    <w:rsid w:val="002F1BE9"/>
    <w:rsid w:val="002F24B1"/>
    <w:rsid w:val="002F4344"/>
    <w:rsid w:val="00301B81"/>
    <w:rsid w:val="003076A0"/>
    <w:rsid w:val="00316354"/>
    <w:rsid w:val="00317848"/>
    <w:rsid w:val="00323CC7"/>
    <w:rsid w:val="00333DF9"/>
    <w:rsid w:val="003347F1"/>
    <w:rsid w:val="00336A08"/>
    <w:rsid w:val="0034635F"/>
    <w:rsid w:val="003604E7"/>
    <w:rsid w:val="003757AB"/>
    <w:rsid w:val="00395C65"/>
    <w:rsid w:val="003B7335"/>
    <w:rsid w:val="003C4A8F"/>
    <w:rsid w:val="003E6B43"/>
    <w:rsid w:val="003F1F68"/>
    <w:rsid w:val="003F666B"/>
    <w:rsid w:val="004034D3"/>
    <w:rsid w:val="00413D16"/>
    <w:rsid w:val="004165C8"/>
    <w:rsid w:val="00421E25"/>
    <w:rsid w:val="00426BC5"/>
    <w:rsid w:val="0042738E"/>
    <w:rsid w:val="00437BF1"/>
    <w:rsid w:val="00447C27"/>
    <w:rsid w:val="00452399"/>
    <w:rsid w:val="0045245D"/>
    <w:rsid w:val="004641C0"/>
    <w:rsid w:val="0046643A"/>
    <w:rsid w:val="004664F2"/>
    <w:rsid w:val="00472ED8"/>
    <w:rsid w:val="00480478"/>
    <w:rsid w:val="004934F8"/>
    <w:rsid w:val="004D639D"/>
    <w:rsid w:val="004E2600"/>
    <w:rsid w:val="004E3E0A"/>
    <w:rsid w:val="004F3369"/>
    <w:rsid w:val="00502F00"/>
    <w:rsid w:val="00505E70"/>
    <w:rsid w:val="00525731"/>
    <w:rsid w:val="00542EB0"/>
    <w:rsid w:val="00551CCD"/>
    <w:rsid w:val="005520A7"/>
    <w:rsid w:val="005576A0"/>
    <w:rsid w:val="005627E2"/>
    <w:rsid w:val="00576A11"/>
    <w:rsid w:val="00582A9D"/>
    <w:rsid w:val="0058331D"/>
    <w:rsid w:val="00591810"/>
    <w:rsid w:val="005A487B"/>
    <w:rsid w:val="005A79F3"/>
    <w:rsid w:val="005B59DC"/>
    <w:rsid w:val="005C4A55"/>
    <w:rsid w:val="005C5E3C"/>
    <w:rsid w:val="005D1656"/>
    <w:rsid w:val="005D6CE3"/>
    <w:rsid w:val="005D7B53"/>
    <w:rsid w:val="005E587C"/>
    <w:rsid w:val="005E5C00"/>
    <w:rsid w:val="005F160A"/>
    <w:rsid w:val="005F23EE"/>
    <w:rsid w:val="005F53B9"/>
    <w:rsid w:val="005F76EF"/>
    <w:rsid w:val="00600BE4"/>
    <w:rsid w:val="00612E5B"/>
    <w:rsid w:val="0061402F"/>
    <w:rsid w:val="00615E66"/>
    <w:rsid w:val="00644F80"/>
    <w:rsid w:val="0066453D"/>
    <w:rsid w:val="00691697"/>
    <w:rsid w:val="006A4270"/>
    <w:rsid w:val="006C5689"/>
    <w:rsid w:val="006F4D35"/>
    <w:rsid w:val="00700A8D"/>
    <w:rsid w:val="007074B3"/>
    <w:rsid w:val="00713BE8"/>
    <w:rsid w:val="00713DA3"/>
    <w:rsid w:val="00721B96"/>
    <w:rsid w:val="00733DB9"/>
    <w:rsid w:val="00734D97"/>
    <w:rsid w:val="0074217C"/>
    <w:rsid w:val="00742A5A"/>
    <w:rsid w:val="007466CD"/>
    <w:rsid w:val="00751638"/>
    <w:rsid w:val="00756AC4"/>
    <w:rsid w:val="00774883"/>
    <w:rsid w:val="007752BC"/>
    <w:rsid w:val="007817B3"/>
    <w:rsid w:val="00796AF3"/>
    <w:rsid w:val="00797E51"/>
    <w:rsid w:val="007A35E1"/>
    <w:rsid w:val="007A56F5"/>
    <w:rsid w:val="007B100E"/>
    <w:rsid w:val="007B2CEB"/>
    <w:rsid w:val="007C1FDC"/>
    <w:rsid w:val="007C3F0B"/>
    <w:rsid w:val="007C7049"/>
    <w:rsid w:val="007E09ED"/>
    <w:rsid w:val="007E344E"/>
    <w:rsid w:val="007E3CA8"/>
    <w:rsid w:val="007E47AD"/>
    <w:rsid w:val="007E7432"/>
    <w:rsid w:val="00807FE2"/>
    <w:rsid w:val="00811DFC"/>
    <w:rsid w:val="00816020"/>
    <w:rsid w:val="00825324"/>
    <w:rsid w:val="00832F9D"/>
    <w:rsid w:val="008627E9"/>
    <w:rsid w:val="00863938"/>
    <w:rsid w:val="00872ED9"/>
    <w:rsid w:val="00872EE5"/>
    <w:rsid w:val="008765EF"/>
    <w:rsid w:val="008A2D42"/>
    <w:rsid w:val="008A4208"/>
    <w:rsid w:val="008B010E"/>
    <w:rsid w:val="008B58E5"/>
    <w:rsid w:val="008E396E"/>
    <w:rsid w:val="008E765E"/>
    <w:rsid w:val="008F7369"/>
    <w:rsid w:val="008F7940"/>
    <w:rsid w:val="00902048"/>
    <w:rsid w:val="00903188"/>
    <w:rsid w:val="009121E4"/>
    <w:rsid w:val="0091376F"/>
    <w:rsid w:val="00920F39"/>
    <w:rsid w:val="009219BD"/>
    <w:rsid w:val="00936E20"/>
    <w:rsid w:val="00954462"/>
    <w:rsid w:val="009553C2"/>
    <w:rsid w:val="00977762"/>
    <w:rsid w:val="00984B4B"/>
    <w:rsid w:val="009865F9"/>
    <w:rsid w:val="009A7324"/>
    <w:rsid w:val="009C68E5"/>
    <w:rsid w:val="009D3192"/>
    <w:rsid w:val="009E46C9"/>
    <w:rsid w:val="009F30F6"/>
    <w:rsid w:val="009F491E"/>
    <w:rsid w:val="00A05BA7"/>
    <w:rsid w:val="00A13E41"/>
    <w:rsid w:val="00A17479"/>
    <w:rsid w:val="00A303CC"/>
    <w:rsid w:val="00A30E15"/>
    <w:rsid w:val="00A56C2B"/>
    <w:rsid w:val="00A6680A"/>
    <w:rsid w:val="00A72533"/>
    <w:rsid w:val="00A77098"/>
    <w:rsid w:val="00A94BE3"/>
    <w:rsid w:val="00A95023"/>
    <w:rsid w:val="00A972C7"/>
    <w:rsid w:val="00A979D2"/>
    <w:rsid w:val="00AA0617"/>
    <w:rsid w:val="00AA1C8D"/>
    <w:rsid w:val="00AB1C23"/>
    <w:rsid w:val="00AB2C8C"/>
    <w:rsid w:val="00AB38D0"/>
    <w:rsid w:val="00AB4849"/>
    <w:rsid w:val="00AC2D9C"/>
    <w:rsid w:val="00AC5893"/>
    <w:rsid w:val="00AE1424"/>
    <w:rsid w:val="00AE7204"/>
    <w:rsid w:val="00B045F1"/>
    <w:rsid w:val="00B1732E"/>
    <w:rsid w:val="00B25A47"/>
    <w:rsid w:val="00B334D2"/>
    <w:rsid w:val="00B36A66"/>
    <w:rsid w:val="00B71E2F"/>
    <w:rsid w:val="00B73F35"/>
    <w:rsid w:val="00B95DBA"/>
    <w:rsid w:val="00BA7D14"/>
    <w:rsid w:val="00BB3D9C"/>
    <w:rsid w:val="00BE515E"/>
    <w:rsid w:val="00BF396D"/>
    <w:rsid w:val="00C16747"/>
    <w:rsid w:val="00C216DE"/>
    <w:rsid w:val="00C301AF"/>
    <w:rsid w:val="00C30ED3"/>
    <w:rsid w:val="00C37C48"/>
    <w:rsid w:val="00C50653"/>
    <w:rsid w:val="00C50CF1"/>
    <w:rsid w:val="00C51127"/>
    <w:rsid w:val="00C56F5B"/>
    <w:rsid w:val="00C574AC"/>
    <w:rsid w:val="00C57F43"/>
    <w:rsid w:val="00C600FF"/>
    <w:rsid w:val="00C60778"/>
    <w:rsid w:val="00C64B34"/>
    <w:rsid w:val="00C673D7"/>
    <w:rsid w:val="00C71693"/>
    <w:rsid w:val="00C871BD"/>
    <w:rsid w:val="00C94D62"/>
    <w:rsid w:val="00CA4CB5"/>
    <w:rsid w:val="00CA6815"/>
    <w:rsid w:val="00CB35BC"/>
    <w:rsid w:val="00CB4B8E"/>
    <w:rsid w:val="00CC17E4"/>
    <w:rsid w:val="00CC5578"/>
    <w:rsid w:val="00CE7FB6"/>
    <w:rsid w:val="00D0227A"/>
    <w:rsid w:val="00D04B09"/>
    <w:rsid w:val="00D05C4C"/>
    <w:rsid w:val="00D30C2A"/>
    <w:rsid w:val="00D334B3"/>
    <w:rsid w:val="00D46627"/>
    <w:rsid w:val="00D528B3"/>
    <w:rsid w:val="00D52A7D"/>
    <w:rsid w:val="00D52BD5"/>
    <w:rsid w:val="00D86B7F"/>
    <w:rsid w:val="00D86BED"/>
    <w:rsid w:val="00D87CEE"/>
    <w:rsid w:val="00D95DAD"/>
    <w:rsid w:val="00DC5732"/>
    <w:rsid w:val="00DD6CD7"/>
    <w:rsid w:val="00DE3724"/>
    <w:rsid w:val="00DE5D62"/>
    <w:rsid w:val="00DF0675"/>
    <w:rsid w:val="00DF10CF"/>
    <w:rsid w:val="00DF1169"/>
    <w:rsid w:val="00E13A1C"/>
    <w:rsid w:val="00E1746B"/>
    <w:rsid w:val="00E21924"/>
    <w:rsid w:val="00E314B8"/>
    <w:rsid w:val="00E333E9"/>
    <w:rsid w:val="00E34EC6"/>
    <w:rsid w:val="00E354B9"/>
    <w:rsid w:val="00E37BB0"/>
    <w:rsid w:val="00E42545"/>
    <w:rsid w:val="00E42D6A"/>
    <w:rsid w:val="00E444C6"/>
    <w:rsid w:val="00E44EFF"/>
    <w:rsid w:val="00E724D7"/>
    <w:rsid w:val="00E76E45"/>
    <w:rsid w:val="00E84294"/>
    <w:rsid w:val="00EA05D0"/>
    <w:rsid w:val="00EB1192"/>
    <w:rsid w:val="00EB7767"/>
    <w:rsid w:val="00EC622D"/>
    <w:rsid w:val="00ED2BE2"/>
    <w:rsid w:val="00EF2674"/>
    <w:rsid w:val="00EF3A70"/>
    <w:rsid w:val="00EF5C8C"/>
    <w:rsid w:val="00F060FF"/>
    <w:rsid w:val="00F1459D"/>
    <w:rsid w:val="00F217C2"/>
    <w:rsid w:val="00F31CD0"/>
    <w:rsid w:val="00F42220"/>
    <w:rsid w:val="00F53B3F"/>
    <w:rsid w:val="00F66D9F"/>
    <w:rsid w:val="00F87ACC"/>
    <w:rsid w:val="00F96BD7"/>
    <w:rsid w:val="00F97794"/>
    <w:rsid w:val="00F97ABC"/>
    <w:rsid w:val="00FA5360"/>
    <w:rsid w:val="00FA53CC"/>
    <w:rsid w:val="00FB027D"/>
    <w:rsid w:val="00FB1874"/>
    <w:rsid w:val="00FB58B3"/>
    <w:rsid w:val="00FC175F"/>
    <w:rsid w:val="00FD2CD4"/>
    <w:rsid w:val="00FD30B7"/>
    <w:rsid w:val="00FE31D5"/>
    <w:rsid w:val="00FE7AA3"/>
    <w:rsid w:val="00FE7FB8"/>
    <w:rsid w:val="00FF0290"/>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80032">
      <w:bodyDiv w:val="1"/>
      <w:marLeft w:val="0"/>
      <w:marRight w:val="0"/>
      <w:marTop w:val="0"/>
      <w:marBottom w:val="0"/>
      <w:divBdr>
        <w:top w:val="none" w:sz="0" w:space="0" w:color="auto"/>
        <w:left w:val="none" w:sz="0" w:space="0" w:color="auto"/>
        <w:bottom w:val="none" w:sz="0" w:space="0" w:color="auto"/>
        <w:right w:val="none" w:sz="0" w:space="0" w:color="auto"/>
      </w:divBdr>
    </w:div>
    <w:div w:id="240679791">
      <w:bodyDiv w:val="1"/>
      <w:marLeft w:val="0"/>
      <w:marRight w:val="0"/>
      <w:marTop w:val="0"/>
      <w:marBottom w:val="0"/>
      <w:divBdr>
        <w:top w:val="none" w:sz="0" w:space="0" w:color="auto"/>
        <w:left w:val="none" w:sz="0" w:space="0" w:color="auto"/>
        <w:bottom w:val="none" w:sz="0" w:space="0" w:color="auto"/>
        <w:right w:val="none" w:sz="0" w:space="0" w:color="auto"/>
      </w:divBdr>
    </w:div>
    <w:div w:id="652100548">
      <w:bodyDiv w:val="1"/>
      <w:marLeft w:val="0"/>
      <w:marRight w:val="0"/>
      <w:marTop w:val="0"/>
      <w:marBottom w:val="0"/>
      <w:divBdr>
        <w:top w:val="none" w:sz="0" w:space="0" w:color="auto"/>
        <w:left w:val="none" w:sz="0" w:space="0" w:color="auto"/>
        <w:bottom w:val="none" w:sz="0" w:space="0" w:color="auto"/>
        <w:right w:val="none" w:sz="0" w:space="0" w:color="auto"/>
      </w:divBdr>
    </w:div>
    <w:div w:id="919605555">
      <w:bodyDiv w:val="1"/>
      <w:marLeft w:val="0"/>
      <w:marRight w:val="0"/>
      <w:marTop w:val="0"/>
      <w:marBottom w:val="0"/>
      <w:divBdr>
        <w:top w:val="none" w:sz="0" w:space="0" w:color="auto"/>
        <w:left w:val="none" w:sz="0" w:space="0" w:color="auto"/>
        <w:bottom w:val="none" w:sz="0" w:space="0" w:color="auto"/>
        <w:right w:val="none" w:sz="0" w:space="0" w:color="auto"/>
      </w:divBdr>
    </w:div>
    <w:div w:id="1082217769">
      <w:bodyDiv w:val="1"/>
      <w:marLeft w:val="0"/>
      <w:marRight w:val="0"/>
      <w:marTop w:val="0"/>
      <w:marBottom w:val="0"/>
      <w:divBdr>
        <w:top w:val="none" w:sz="0" w:space="0" w:color="auto"/>
        <w:left w:val="none" w:sz="0" w:space="0" w:color="auto"/>
        <w:bottom w:val="none" w:sz="0" w:space="0" w:color="auto"/>
        <w:right w:val="none" w:sz="0" w:space="0" w:color="auto"/>
      </w:divBdr>
    </w:div>
    <w:div w:id="1086267323">
      <w:bodyDiv w:val="1"/>
      <w:marLeft w:val="0"/>
      <w:marRight w:val="0"/>
      <w:marTop w:val="0"/>
      <w:marBottom w:val="0"/>
      <w:divBdr>
        <w:top w:val="none" w:sz="0" w:space="0" w:color="auto"/>
        <w:left w:val="none" w:sz="0" w:space="0" w:color="auto"/>
        <w:bottom w:val="none" w:sz="0" w:space="0" w:color="auto"/>
        <w:right w:val="none" w:sz="0" w:space="0" w:color="auto"/>
      </w:divBdr>
    </w:div>
    <w:div w:id="2127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mage002.jpg@01CDFCA5.CD7717F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jpg@01CDFCA5.CD7717F0"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rhrt/IGVC-2013-Im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1BC50-7EA4-4FCB-A849-4646B601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Status Report Week 7</vt:lpstr>
    </vt:vector>
  </TitlesOfParts>
  <Company>Rose-Hulman Institute of Technology</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Week 7</dc:title>
  <dc:subject>CSSE463: IGVC Vision</dc:subject>
  <dc:creator>Ander Solorzano;Ruffin White;Kurtis Zimmerman;Donnie Quamme</dc:creator>
  <cp:keywords>2012 IGVC</cp:keywords>
  <cp:lastModifiedBy>Ruffin J White-Magner</cp:lastModifiedBy>
  <cp:revision>5</cp:revision>
  <dcterms:created xsi:type="dcterms:W3CDTF">2013-01-27T20:10:00Z</dcterms:created>
  <dcterms:modified xsi:type="dcterms:W3CDTF">2013-01-27T21:24:00Z</dcterms:modified>
</cp:coreProperties>
</file>