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true"/>
          <w:u w:val="none"/>
          <w:sz w:val="20"/>
          <w:szCs w:val="20"/>
          <w:color w:val="000000"/>
        </w:rPr>
        <w:t xml:space="preserve">Supplementary Table 1: </w:t>
      </w:r>
      <w:r>
        <w:rPr>
          <w:rFonts w:ascii="Times New Roman" w:hAnsi="Times New Roman" w:eastAsia="Times New Roman" w:cs="Times New Roman"/>
          <w:i w:val="false"/>
          <w:b w:val="true"/>
          <w:u w:val="none"/>
          <w:sz w:val="20"/>
          <w:szCs w:val="20"/>
          <w:color w:val="000000"/>
        </w:rPr>
        <w:t xml:space="preserve">Life expectancy gains in men under different scenarios, 2005-2019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 Quo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avoidable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preventable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treatable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avoidable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preventable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treatable deaths removed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Established member states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NMS = New member states, EMS = Established member states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2024-07-10T10:18:36Z</dcterms:modified>
  <cp:category/>
</cp:coreProperties>
</file>