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true"/>
          <w:b w:val="true"/>
          <w:u w:val="none"/>
          <w:sz w:val="20"/>
          <w:szCs w:val="20"/>
          <w:color w:val="000000"/>
        </w:rPr>
        <w:t xml:space="preserve">Supplementary Table 1: </w:t>
      </w:r>
      <w:r>
        <w:rPr>
          <w:rFonts w:ascii="Times New Roman" w:hAnsi="Times New Roman" w:eastAsia="Times New Roman" w:cs="Times New Roman"/>
          <w:i w:val="false"/>
          <w:b w:val="true"/>
          <w:u w:val="none"/>
          <w:sz w:val="20"/>
          <w:szCs w:val="20"/>
          <w:color w:val="000000"/>
        </w:rPr>
        <w:t xml:space="preserve">Lifespan disparity reductions in women under different scenarios, 2005-2019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Status Quo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EMS avoidable mortality in NMS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EMS preventable mortality in NMS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EMS treatable mortality in NMS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All avoidable deaths removed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Only preventable deaths removed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Only treatable deaths removed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Croatia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Cyprus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Luxembourg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-1.96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-1.09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-0.97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United Kingdom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New member states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-1.47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Established member states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-1.11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NMS = New member states, EMS = Established member states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rokhrzic</cp:lastModifiedBy>
  <cp:revision>9</cp:revision>
  <dcterms:created xsi:type="dcterms:W3CDTF">2017-02-28T11:18:00Z</dcterms:created>
  <dcterms:modified xsi:type="dcterms:W3CDTF">2024-07-10T10:18:37Z</dcterms:modified>
  <cp:category/>
</cp:coreProperties>
</file>