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true"/>
          <w:b w:val="true"/>
          <w:u w:val="none"/>
          <w:sz w:val="20"/>
          <w:szCs w:val="20"/>
          <w:color w:val="000000"/>
        </w:rPr>
        <w:t xml:space="preserve">Supplementary Table 5: </w:t>
      </w:r>
      <w:r>
        <w:rPr>
          <w:rFonts w:ascii="Times New Roman" w:hAnsi="Times New Roman" w:eastAsia="Times New Roman" w:cs="Times New Roman"/>
          <w:i w:val="false"/>
          <w:b w:val="true"/>
          <w:u w:val="none"/>
          <w:sz w:val="20"/>
          <w:szCs w:val="20"/>
          <w:color w:val="000000"/>
        </w:rPr>
        <w:t xml:space="preserve">The average contribution of cause groups to the estimated gains in male life expectancy by EU member state if all avoidable deaths were averted, 2005-2019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Cause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0-1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1-4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5-9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10-14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15-19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20-24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25-29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30-34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35-39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40-44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45-49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50-54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55-59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60-64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65-69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70-74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Austria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Belgium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Bulgaria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Czech Republic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Denmark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Finland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Germany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Hungary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body169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Ireland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Italy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body188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Latvia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body200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body202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Lithuania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body214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body216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body220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body225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Luxembourg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body227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body228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body230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body234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body239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body242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</w:tr>
      <w:tr>
        <w:trPr>
          <w:trHeight w:val="360" w:hRule="auto"/>
        </w:trPr>
        body244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body248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Netherlands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body256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body258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body262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body270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body272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body276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Portugal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body283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body284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body286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body295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Romania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body297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body298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body300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body309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Slovakia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body312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body314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body323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Slovenia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body325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body326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body328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body337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body340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body342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body346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360" w:hRule="auto"/>
        </w:trPr>
        body354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body356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United Kingdom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body368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body370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body371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body374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body379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Established member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body382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body384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body386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body388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body389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New member states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Adverse effects of medical and surgical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Alcohol- related and drug related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body396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Congenital malformations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circulatory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body398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digestive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genitourinary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nervous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Diseases of the respiratory system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body402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Endocrine and metabolic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Infectious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Injuries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body405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Nonavoidable deaths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body406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Pregnancy, childbirth and perinatal period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rokhrzic</cp:lastModifiedBy>
  <cp:revision>9</cp:revision>
  <dcterms:created xsi:type="dcterms:W3CDTF">2017-02-28T11:18:00Z</dcterms:created>
  <dcterms:modified xsi:type="dcterms:W3CDTF">2024-07-10T10:19:10Z</dcterms:modified>
  <cp:category/>
</cp:coreProperties>
</file>