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192.png" ContentType="image/png"/>
  <Override PartName="/word/media/rId258.png" ContentType="image/png"/>
  <Override PartName="/word/media/rId262.png" ContentType="image/png"/>
  <Override PartName="/word/media/rId244.png" ContentType="image/png"/>
  <Override PartName="/word/media/rId203.png" ContentType="image/png"/>
  <Override PartName="/word/media/rId206.png" ContentType="image/png"/>
  <Override PartName="/word/media/rId241.png" ContentType="image/png"/>
  <Override PartName="/word/media/rId251.png" ContentType="image/png"/>
  <Override PartName="/word/media/rId248.png" ContentType="image/png"/>
  <Override PartName="/word/media/rId210.png" ContentType="image/png"/>
  <Override PartName="/word/media/rId213.png" ContentType="image/png"/>
  <Override PartName="/word/media/rId216.png" ContentType="image/png"/>
  <Override PartName="/word/media/rId234.png" ContentType="image/png"/>
  <Override PartName="/word/media/rId254.png" ContentType="image/png"/>
  <Override PartName="/word/media/rId182.png" ContentType="image/png"/>
  <Override PartName="/word/media/rId185.png" ContentType="image/png"/>
  <Override PartName="/word/media/rId237.png" ContentType="image/png"/>
  <Override PartName="/word/media/rId231.png" ContentType="image/png"/>
  <Override PartName="/word/media/rId267.png" ContentType="image/png"/>
  <Override PartName="/word/media/rId270.png" ContentType="image/png"/>
  <Override PartName="/word/media/rId273.png" ContentType="image/png"/>
  <Override PartName="/word/media/rId220.png" ContentType="image/png"/>
  <Override PartName="/word/media/rId223.png" ContentType="image/png"/>
  <Override PartName="/word/media/rId226.png" ContentType="image/png"/>
  <Override PartName="/word/media/rId196.png" ContentType="image/png"/>
  <Override PartName="/word/media/rId199.png" ContentType="image/png"/>
  <Override PartName="/word/media/rId39.png" ContentType="image/png"/>
  <Override PartName="/word/media/rId42.png" ContentType="image/png"/>
  <Override PartName="/word/media/rId106.png" ContentType="image/png"/>
  <Override PartName="/word/media/rId114.png" ContentType="image/png"/>
  <Override PartName="/word/media/rId109.png" ContentType="image/png"/>
  <Override PartName="/word/media/rId117.png" ContentType="image/png"/>
  <Override PartName="/word/media/rId102.png" ContentType="image/png"/>
  <Override PartName="/word/media/rId93.png" ContentType="image/png"/>
  <Override PartName="/word/media/rId97.png" ContentType="image/png"/>
  <Override PartName="/word/media/rId122.png" ContentType="image/png"/>
  <Override PartName="/word/media/rId125.png" ContentType="image/png"/>
  <Override PartName="/word/media/rId128.png" ContentType="image/png"/>
  <Override PartName="/word/media/rId131.png" ContentType="image/png"/>
  <Override PartName="/word/media/rId150.png" ContentType="image/png"/>
  <Override PartName="/word/media/rId158.png" ContentType="image/png"/>
  <Override PartName="/word/media/rId153.png" ContentType="image/png"/>
  <Override PartName="/word/media/rId161.png" ContentType="image/png"/>
  <Override PartName="/word/media/rId145.png" ContentType="image/png"/>
  <Override PartName="/word/media/rId137.png" ContentType="image/png"/>
  <Override PartName="/word/media/rId141.png" ContentType="image/png"/>
  <Override PartName="/word/media/rId166.png" ContentType="image/png"/>
  <Override PartName="/word/media/rId169.png" ContentType="image/png"/>
  <Override PartName="/word/media/rId172.png" ContentType="image/png"/>
  <Override PartName="/word/media/rId175.png" ContentType="image/png"/>
  <Override PartName="/word/media/rId62.png" ContentType="image/png"/>
  <Override PartName="/word/media/rId70.png" ContentType="image/png"/>
  <Override PartName="/word/media/rId65.png" ContentType="image/png"/>
  <Override PartName="/word/media/rId73.png" ContentType="image/png"/>
  <Override PartName="/word/media/rId57.png" ContentType="image/png"/>
  <Override PartName="/word/media/rId49.png" ContentType="image/png"/>
  <Override PartName="/word/media/rId53.png" ContentType="image/png"/>
  <Override PartName="/word/media/rId78.png" ContentType="image/png"/>
  <Override PartName="/word/media/rId81.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Riccardo Bronzini, Noberto Curitomai, Robert DeLintt &amp; Ronak Shah</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p>
      <w:pPr>
        <w:pStyle w:val="Compact"/>
        <w:numPr>
          <w:ilvl w:val="0"/>
          <w:numId w:val="1001"/>
        </w:numPr>
      </w:pPr>
      <w:r>
        <w:t xml:space="preserve">Bureau of Transportation Statistics. (April 15, 2025). Domestic market share of leading U.S. airlines in 2024 [Graph]. In </w:t>
      </w:r>
      <w:r>
        <w:rPr>
          <w:i/>
          <w:iCs/>
        </w:rPr>
        <w:t xml:space="preserve">Statista</w:t>
      </w:r>
      <w:r>
        <w:t xml:space="preserve">. Retrieved November 15, 2025, from</w:t>
      </w:r>
      <w:r>
        <w:t xml:space="preserve"> </w:t>
      </w:r>
      <w:hyperlink r:id="rId30">
        <w:r>
          <w:rPr>
            <w:rStyle w:val="Hyperlink"/>
          </w:rPr>
          <w:t xml:space="preserve">https://www.statista.com/statistics/250577/domestic-market-share-of-leading-us-airlines/</w:t>
        </w:r>
      </w:hyperlink>
    </w:p>
    <w:p>
      <w:pPr>
        <w:pStyle w:val="Compact"/>
        <w:numPr>
          <w:ilvl w:val="0"/>
          <w:numId w:val="1001"/>
        </w:numPr>
      </w:pPr>
      <w:r>
        <w:t xml:space="preserve">Statista. (September 5, 2025). Leading airline groups worldwide in 2024, based on passengers (in millions) [Graph]. In </w:t>
      </w:r>
      <w:r>
        <w:rPr>
          <w:i/>
          <w:iCs/>
        </w:rPr>
        <w:t xml:space="preserve">Statista</w:t>
      </w:r>
      <w:r>
        <w:t xml:space="preserve">. Retrieved November 15, 2025, from</w:t>
      </w:r>
      <w:r>
        <w:t xml:space="preserve"> </w:t>
      </w:r>
      <w:hyperlink r:id="rId31">
        <w:r>
          <w:rPr>
            <w:rStyle w:val="Hyperlink"/>
          </w:rPr>
          <w:t xml:space="preserve">https://www.statista.com/statistics/269617/top-10-airlines-worldwide-by-number-of-passengers/</w:t>
        </w:r>
      </w:hyperlink>
    </w:p>
    <w:p>
      <w:pPr>
        <w:pStyle w:val="Compact"/>
        <w:numPr>
          <w:ilvl w:val="0"/>
          <w:numId w:val="1001"/>
        </w:numPr>
      </w:pPr>
      <w:r>
        <w:t xml:space="preserve">Yahoo Finance.</w:t>
      </w:r>
      <w:r>
        <w:t xml:space="preserve"> </w:t>
      </w:r>
      <w:hyperlink r:id="rId32">
        <w:r>
          <w:rPr>
            <w:rStyle w:val="Hyperlink"/>
          </w:rPr>
          <w:t xml:space="preserve">https://tinyurl.com/26sdyzky</w:t>
        </w:r>
      </w:hyperlink>
    </w:p>
    <w:p>
      <w:pPr>
        <w:pStyle w:val="Compact"/>
        <w:numPr>
          <w:ilvl w:val="0"/>
          <w:numId w:val="1001"/>
        </w:numPr>
      </w:pPr>
      <w:r>
        <w:t xml:space="preserve">Simply Wall.</w:t>
      </w:r>
      <w:r>
        <w:t xml:space="preserve"> </w:t>
      </w:r>
      <w:hyperlink r:id="rId33">
        <w:r>
          <w:rPr>
            <w:rStyle w:val="Hyperlink"/>
          </w:rPr>
          <w:t xml:space="preserve">https://simplywall.st/stocks/us/transportation/nasdaq-ual/united-airlines-holdings/health</w:t>
        </w:r>
      </w:hyperlink>
    </w:p>
    <w:p>
      <w:pPr>
        <w:pStyle w:val="Compact"/>
        <w:numPr>
          <w:ilvl w:val="0"/>
          <w:numId w:val="1001"/>
        </w:numPr>
      </w:pPr>
      <w:r>
        <w:t xml:space="preserve">Jet blue market share :</w:t>
      </w:r>
      <w:r>
        <w:t xml:space="preserve"> </w:t>
      </w:r>
      <w:hyperlink r:id="rId34">
        <w:r>
          <w:rPr>
            <w:rStyle w:val="Hyperlink"/>
          </w:rPr>
          <w:t xml:space="preserve">https://www.transtats.bts.gov/</w:t>
        </w:r>
      </w:hyperlink>
    </w:p>
    <w:p>
      <w:pPr>
        <w:pStyle w:val="Compact"/>
        <w:numPr>
          <w:ilvl w:val="0"/>
          <w:numId w:val="1001"/>
        </w:numPr>
      </w:pPr>
      <w:r>
        <w:t xml:space="preserve">NEA Cancelled .</w:t>
      </w:r>
      <w:r>
        <w:t xml:space="preserve"> </w:t>
      </w:r>
      <w:hyperlink r:id="rId35">
        <w:r>
          <w:rPr>
            <w:rStyle w:val="Hyperlink"/>
          </w:rPr>
          <w:t xml:space="preserve">https://www.reuters.com/business/american-airlines-sues-jetblue-scraps-partnership-talks-2025-04-29/</w:t>
        </w:r>
      </w:hyperlink>
    </w:p>
    <w:p>
      <w:pPr>
        <w:pStyle w:val="Compact"/>
        <w:numPr>
          <w:ilvl w:val="0"/>
          <w:numId w:val="1001"/>
        </w:numPr>
      </w:pPr>
      <w:r>
        <w:t xml:space="preserve">Jetblue recovery pan :</w:t>
      </w:r>
      <w:r>
        <w:t xml:space="preserve"> </w:t>
      </w:r>
      <w:hyperlink r:id="rId36">
        <w:r>
          <w:rPr>
            <w:rStyle w:val="Hyperlink"/>
          </w:rPr>
          <w:t xml:space="preserve">https://www.travelweekly.com/Travel-News/Airline-News/JetBlue-struggles-to-regain-profitability-as-demand-declines</w:t>
        </w:r>
      </w:hyperlink>
    </w:p>
    <w:p>
      <w:pPr>
        <w:pStyle w:val="Compact"/>
        <w:numPr>
          <w:ilvl w:val="0"/>
          <w:numId w:val="1001"/>
        </w:numPr>
      </w:pPr>
      <w:r>
        <w:t xml:space="preserve">Jet blue potential earnings 2027:</w:t>
      </w:r>
      <w:r>
        <w:t xml:space="preserve"> </w:t>
      </w:r>
      <w:hyperlink r:id="rId37">
        <w:r>
          <w:rPr>
            <w:rStyle w:val="Hyperlink"/>
          </w:rPr>
          <w:t xml:space="preserve">https://finance.yahoo.com/news/jetblue-reports-second-quarter-operating-110000180.html</w:t>
        </w:r>
      </w:hyperlink>
    </w:p>
    <w:bookmarkEnd w:id="38"/>
    <w:bookmarkStart w:id="48" w:name="executive-summary"/>
    <w:p>
      <w:pPr>
        <w:pStyle w:val="Heading1"/>
      </w:pPr>
      <w:r>
        <w:t xml:space="preserve">3. Executive Summary</w:t>
      </w:r>
    </w:p>
    <w:bookmarkStart w:id="45" w:name="introduction-1"/>
    <w:p>
      <w:pPr>
        <w:pStyle w:val="Heading2"/>
      </w:pPr>
      <w:r>
        <w:t xml:space="preserve">3.1 Introduction</w:t>
      </w:r>
    </w:p>
    <w:p>
      <w:pPr>
        <w:pStyle w:val="FirstParagraph"/>
      </w:pPr>
      <w:r>
        <w:t xml:space="preserve">The airline sector is a dynamic and highly competitive industry, exemplified by the diverse operational scales and market reach of its leading carriers. In global terms, United Airlines (UAL) stands among the top contenders, carrying nearly 174 million passengers in 2024, positioning it just behind American Airlines and Ryanair and ahead of Delta Air Lines and major Asian carriers. Domestically, UAL holds one of the largest shares of the U.S. market, closely competing with Delta and American Airlines, each capturing just over 20% of the market. JetBlue Airways (JBLU) and SkyWest (SKYW), while significantly smaller than UAL, demonstrate the sector’s diversity: JetBlue carves out a notable niche with roughly 5% market share focused on hybrid low-cost service, whereas SkyWest operates with a regional business model and holds about a 2% share, supporting major airlines through contract flying and serving less densely populated routes.</w:t>
      </w:r>
    </w:p>
    <w:p>
      <w:pPr>
        <w:pStyle w:val="CaptionedFigure"/>
      </w:pPr>
      <w:r>
        <w:drawing>
          <wp:inline>
            <wp:extent cx="5334000" cy="3963162"/>
            <wp:effectExtent b="0" l="0" r="0" t="0"/>
            <wp:docPr descr="Leading airlines in the U.S. domestic market share (2024)" title="" id="40" name="Picture"/>
            <a:graphic>
              <a:graphicData uri="http://schemas.openxmlformats.org/drawingml/2006/picture">
                <pic:pic>
                  <pic:nvPicPr>
                    <pic:cNvPr descr="images/statistic_id250577_leading-airlines-in-the-us-by-domestic-market-share-2024.png" id="41" name="Picture"/>
                    <pic:cNvPicPr>
                      <a:picLocks noChangeArrowheads="1" noChangeAspect="1"/>
                    </pic:cNvPicPr>
                  </pic:nvPicPr>
                  <pic:blipFill>
                    <a:blip r:embed="rId39"/>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in the U.S. domestic market share (2024)</w:t>
      </w:r>
    </w:p>
    <w:p>
      <w:pPr>
        <w:pStyle w:val="BodyText"/>
      </w:pPr>
      <w:r>
        <w:t xml:space="preserve">These contrasts highlight the broad spectrum of business strategies—from global giants like UAL with extensive international and domestic networks, to regionally specialized carriers like SKYW, and innovative low-cost competitors such as JBLU. Together, they illustrate how scale, operational focus, and market segmentation define competition and opportunity within the airline industry.</w:t>
      </w:r>
    </w:p>
    <w:p>
      <w:pPr>
        <w:pStyle w:val="CaptionedFigure"/>
      </w:pPr>
      <w:r>
        <w:drawing>
          <wp:inline>
            <wp:extent cx="5334000" cy="3963162"/>
            <wp:effectExtent b="0" l="0" r="0" t="0"/>
            <wp:docPr descr="Leading airlines worldwide based on total number of passengers (2024)" title="" id="43" name="Picture"/>
            <a:graphic>
              <a:graphicData uri="http://schemas.openxmlformats.org/drawingml/2006/picture">
                <pic:pic>
                  <pic:nvPicPr>
                    <pic:cNvPr descr="images/statistic_id269617_leading-airlines-worldwide-based-on-total-number-of-passengers-2024.png" id="44" name="Picture"/>
                    <pic:cNvPicPr>
                      <a:picLocks noChangeArrowheads="1" noChangeAspect="1"/>
                    </pic:cNvPicPr>
                  </pic:nvPicPr>
                  <pic:blipFill>
                    <a:blip r:embed="rId42"/>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worldwide based on total number of passengers (2024)</w:t>
      </w:r>
    </w:p>
    <w:bookmarkEnd w:id="45"/>
    <w:bookmarkStart w:id="46" w:name="key-findings"/>
    <w:p>
      <w:pPr>
        <w:pStyle w:val="Heading2"/>
      </w:pPr>
      <w:r>
        <w:t xml:space="preserve">3.2 Key Findings</w:t>
      </w:r>
    </w:p>
    <w:p>
      <w:pPr>
        <w:pStyle w:val="FirstParagraph"/>
      </w:pPr>
      <w:r>
        <w:t xml:space="preserve">The industry-wide data illustrates a definitive trajectory from the severe operational and financial downturn of 2020 towards a sustained, albeit uneven, recovery. Revenue across all three carriers declined significantly during the pandemic’s initial phase, resulting in substantial net losses. Nevertheless, the subsequent years demonstrate a robust rebound in top-line growth, with United Airlines standing out for scale. Profitability has shown a more gradual recovery, hampered by fluctuating fuel and labor costs. The analysis underscores that, although revenue has largely normalized, the quality of earnings and the resilience of balance sheets remain critical differentiators among competitors.</w:t>
      </w:r>
    </w:p>
    <w:p>
      <w:pPr>
        <w:pStyle w:val="BodyText"/>
      </w:pPr>
      <w:r>
        <w:t xml:space="preserve">The primary insight from this comparative analysis is that SkyWest (SKYW) has a resilient, strategically advantageous financial profile relative to its peers. While United Airlines’ recovery in operational scale is impressive, SkyWest’s strength is evident in its stable financial structure. This is supported by a Net Debt-to-Equity ratio of approximately 102% in 2024, substantially lower than United Airlines’ ratio, which ranged from about 85% to 177% during the same period, depending on the report and period considered. These ratios confirm that SkyWest’s balance sheet remains healthier and less leveraged than its larger competitor, providing a solid basis for its long-term financial sustainability. Additionally, SkyWest has consistently generated positive free cash flow annually since 2022, a milestone that JetBlue has not achieved. This combination of low leverage and dependable internal cash generation positions SkyWest exceptionally well to navigate forthcoming market uncertainties and to capitalize on emerging opportunities, without being hindered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bookmarkEnd w:id="46"/>
    <w:bookmarkStart w:id="47" w:name="conclusion"/>
    <w:p>
      <w:pPr>
        <w:pStyle w:val="Heading2"/>
      </w:pPr>
      <w:r>
        <w:t xml:space="preserve">3.3 Conclusion</w:t>
      </w:r>
    </w:p>
    <w:p>
      <w:pPr>
        <w:pStyle w:val="FirstParagraph"/>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47"/>
    <w:bookmarkEnd w:id="48"/>
    <w:bookmarkStart w:id="92"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52"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50" name="Picture"/>
            <a:graphic>
              <a:graphicData uri="http://schemas.openxmlformats.org/drawingml/2006/picture">
                <pic:pic>
                  <pic:nvPicPr>
                    <pic:cNvPr descr="ual_financial_analysis_files/figure-docx/ual-mkt-cap-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52"/>
    <w:bookmarkStart w:id="61" w:name="income-sustainability-and-recovery"/>
    <w:p>
      <w:pPr>
        <w:pStyle w:val="Heading2"/>
      </w:pPr>
      <w:r>
        <w:t xml:space="preserve">4.2 Income Sustainability and Recovery</w:t>
      </w:r>
    </w:p>
    <w:bookmarkStart w:id="56"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54" name="Picture"/>
            <a:graphic>
              <a:graphicData uri="http://schemas.openxmlformats.org/drawingml/2006/picture">
                <pic:pic>
                  <pic:nvPicPr>
                    <pic:cNvPr descr="ual_financial_analysis_files/figure-docx/ual-profitability-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56"/>
    <w:bookmarkStart w:id="60"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58" name="Picture"/>
            <a:graphic>
              <a:graphicData uri="http://schemas.openxmlformats.org/drawingml/2006/picture">
                <pic:pic>
                  <pic:nvPicPr>
                    <pic:cNvPr descr="ual_financial_analysis_files/figure-docx/ual-margins-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60"/>
    <w:bookmarkEnd w:id="61"/>
    <w:bookmarkStart w:id="69"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63" name="Picture"/>
            <a:graphic>
              <a:graphicData uri="http://schemas.openxmlformats.org/drawingml/2006/picture">
                <pic:pic>
                  <pic:nvPicPr>
                    <pic:cNvPr descr="ual_financial_analysis_files/figure-docx/ual-balance-sheet-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68"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66" name="Picture"/>
            <a:graphic>
              <a:graphicData uri="http://schemas.openxmlformats.org/drawingml/2006/picture">
                <pic:pic>
                  <pic:nvPicPr>
                    <pic:cNvPr descr="ual_financial_analysis_files/figure-docx/ual-debt-equity-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68"/>
    <w:bookmarkEnd w:id="69"/>
    <w:bookmarkStart w:id="77"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71" name="Picture"/>
            <a:graphic>
              <a:graphicData uri="http://schemas.openxmlformats.org/drawingml/2006/picture">
                <pic:pic>
                  <pic:nvPicPr>
                    <pic:cNvPr descr="ual_financial_analysis_files/figure-docx/ual-cash-flow-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76"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74" name="Picture"/>
            <a:graphic>
              <a:graphicData uri="http://schemas.openxmlformats.org/drawingml/2006/picture">
                <pic:pic>
                  <pic:nvPicPr>
                    <pic:cNvPr descr="ual_financial_analysis_files/figure-docx/ual-fcf-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76"/>
    <w:bookmarkEnd w:id="77"/>
    <w:bookmarkStart w:id="90"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79" name="Picture"/>
            <a:graphic>
              <a:graphicData uri="http://schemas.openxmlformats.org/drawingml/2006/picture">
                <pic:pic>
                  <pic:nvPicPr>
                    <pic:cNvPr descr="ual_financial_analysis_files/figure-docx/ual-roa-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82" name="Picture"/>
            <a:graphic>
              <a:graphicData uri="http://schemas.openxmlformats.org/drawingml/2006/picture">
                <pic:pic>
                  <pic:nvPicPr>
                    <pic:cNvPr descr="ual_financial_analysis_files/figure-docx/ual-roa-decomposition-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85" name="Picture"/>
            <a:graphic>
              <a:graphicData uri="http://schemas.openxmlformats.org/drawingml/2006/picture">
                <pic:pic>
                  <pic:nvPicPr>
                    <pic:cNvPr descr="ual_financial_analysis_files/figure-docx/ual-roe-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88" name="Picture"/>
            <a:graphic>
              <a:graphicData uri="http://schemas.openxmlformats.org/drawingml/2006/picture">
                <pic:pic>
                  <pic:nvPicPr>
                    <pic:cNvPr descr="ual_financial_analysis_files/figure-docx/ual-roe-decomposition-1.png" id="89" name="Picture"/>
                    <pic:cNvPicPr>
                      <a:picLocks noChangeArrowheads="1" noChangeAspect="1"/>
                    </pic:cNvPicPr>
                  </pic:nvPicPr>
                  <pic:blipFill>
                    <a:blip r:embed="rId8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90"/>
    <w:bookmarkStart w:id="91"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91"/>
    <w:bookmarkEnd w:id="92"/>
    <w:bookmarkStart w:id="136"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96"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94" name="Picture"/>
            <a:graphic>
              <a:graphicData uri="http://schemas.openxmlformats.org/drawingml/2006/picture">
                <pic:pic>
                  <pic:nvPicPr>
                    <pic:cNvPr descr="jblu_financial_analysis_files/figure-docx/jblu-mkt-cap-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96"/>
    <w:bookmarkStart w:id="101" w:name="income-statement-overview"/>
    <w:p>
      <w:pPr>
        <w:pStyle w:val="Heading2"/>
      </w:pPr>
      <w:r>
        <w:t xml:space="preserve">5.2 Income Statement Overview</w:t>
      </w:r>
    </w:p>
    <w:bookmarkStart w:id="100"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98" name="Picture"/>
            <a:graphic>
              <a:graphicData uri="http://schemas.openxmlformats.org/drawingml/2006/picture">
                <pic:pic>
                  <pic:nvPicPr>
                    <pic:cNvPr descr="jblu_financial_analysis_files/figure-docx/jblu-profitability-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100"/>
    <w:bookmarkEnd w:id="101"/>
    <w:bookmarkStart w:id="105"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103" name="Picture"/>
            <a:graphic>
              <a:graphicData uri="http://schemas.openxmlformats.org/drawingml/2006/picture">
                <pic:pic>
                  <pic:nvPicPr>
                    <pic:cNvPr descr="jblu_financial_analysis_files/figure-docx/jblu-margins-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105"/>
    <w:bookmarkStart w:id="113"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107" name="Picture"/>
            <a:graphic>
              <a:graphicData uri="http://schemas.openxmlformats.org/drawingml/2006/picture">
                <pic:pic>
                  <pic:nvPicPr>
                    <pic:cNvPr descr="jblu_financial_analysis_files/figure-docx/jblu-balance-sheet-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112"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110" name="Picture"/>
            <a:graphic>
              <a:graphicData uri="http://schemas.openxmlformats.org/drawingml/2006/picture">
                <pic:pic>
                  <pic:nvPicPr>
                    <pic:cNvPr descr="jblu_financial_analysis_files/figure-docx/jblu-debt-equity-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112"/>
    <w:bookmarkEnd w:id="113"/>
    <w:bookmarkStart w:id="121"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115" name="Picture"/>
            <a:graphic>
              <a:graphicData uri="http://schemas.openxmlformats.org/drawingml/2006/picture">
                <pic:pic>
                  <pic:nvPicPr>
                    <pic:cNvPr descr="jblu_financial_analysis_files/figure-docx/jblu-cash-flow-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20"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18" name="Picture"/>
            <a:graphic>
              <a:graphicData uri="http://schemas.openxmlformats.org/drawingml/2006/picture">
                <pic:pic>
                  <pic:nvPicPr>
                    <pic:cNvPr descr="jblu_financial_analysis_files/figure-docx/jblu-fcf-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20"/>
    <w:bookmarkEnd w:id="121"/>
    <w:bookmarkStart w:id="134"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23" name="Picture"/>
            <a:graphic>
              <a:graphicData uri="http://schemas.openxmlformats.org/drawingml/2006/picture">
                <pic:pic>
                  <pic:nvPicPr>
                    <pic:cNvPr descr="jblu_financial_analysis_files/figure-docx/jblu-roa-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26" name="Picture"/>
            <a:graphic>
              <a:graphicData uri="http://schemas.openxmlformats.org/drawingml/2006/picture">
                <pic:pic>
                  <pic:nvPicPr>
                    <pic:cNvPr descr="jblu_financial_analysis_files/figure-docx/jblu-roa-decomposition-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29" name="Picture"/>
            <a:graphic>
              <a:graphicData uri="http://schemas.openxmlformats.org/drawingml/2006/picture">
                <pic:pic>
                  <pic:nvPicPr>
                    <pic:cNvPr descr="jblu_financial_analysis_files/figure-docx/jblu-roe-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32" name="Picture"/>
            <a:graphic>
              <a:graphicData uri="http://schemas.openxmlformats.org/drawingml/2006/picture">
                <pic:pic>
                  <pic:nvPicPr>
                    <pic:cNvPr descr="jblu_financial_analysis_files/figure-docx/jblu-roe-decomposition-1.png" id="133" name="Picture"/>
                    <pic:cNvPicPr>
                      <a:picLocks noChangeArrowheads="1" noChangeAspect="1"/>
                    </pic:cNvPicPr>
                  </pic:nvPicPr>
                  <pic:blipFill>
                    <a:blip r:embed="rId13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34"/>
    <w:bookmarkStart w:id="135"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35"/>
    <w:bookmarkEnd w:id="136"/>
    <w:bookmarkStart w:id="180"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40"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38" name="Picture"/>
            <a:graphic>
              <a:graphicData uri="http://schemas.openxmlformats.org/drawingml/2006/picture">
                <pic:pic>
                  <pic:nvPicPr>
                    <pic:cNvPr descr="skyw_financial_analysis_files/figure-docx/skyw-mkt-cap-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40"/>
    <w:bookmarkStart w:id="149" w:name="income-statement-and-profitability"/>
    <w:p>
      <w:pPr>
        <w:pStyle w:val="Heading2"/>
      </w:pPr>
      <w:r>
        <w:t xml:space="preserve">6.2 Income Statement and Profitability</w:t>
      </w:r>
    </w:p>
    <w:bookmarkStart w:id="144"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42" name="Picture"/>
            <a:graphic>
              <a:graphicData uri="http://schemas.openxmlformats.org/drawingml/2006/picture">
                <pic:pic>
                  <pic:nvPicPr>
                    <pic:cNvPr descr="skyw_financial_analysis_files/figure-docx/skyw-profitability-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44"/>
    <w:bookmarkStart w:id="148"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46" name="Picture"/>
            <a:graphic>
              <a:graphicData uri="http://schemas.openxmlformats.org/drawingml/2006/picture">
                <pic:pic>
                  <pic:nvPicPr>
                    <pic:cNvPr descr="skyw_financial_analysis_files/figure-docx/skyw-margins-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48"/>
    <w:bookmarkEnd w:id="149"/>
    <w:bookmarkStart w:id="157"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51" name="Picture"/>
            <a:graphic>
              <a:graphicData uri="http://schemas.openxmlformats.org/drawingml/2006/picture">
                <pic:pic>
                  <pic:nvPicPr>
                    <pic:cNvPr descr="skyw_financial_analysis_files/figure-docx/skyw-balance-sheet-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56"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54" name="Picture"/>
            <a:graphic>
              <a:graphicData uri="http://schemas.openxmlformats.org/drawingml/2006/picture">
                <pic:pic>
                  <pic:nvPicPr>
                    <pic:cNvPr descr="skyw_financial_analysis_files/figure-docx/skyw-debt-equity-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56"/>
    <w:bookmarkEnd w:id="157"/>
    <w:bookmarkStart w:id="165"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59" name="Picture"/>
            <a:graphic>
              <a:graphicData uri="http://schemas.openxmlformats.org/drawingml/2006/picture">
                <pic:pic>
                  <pic:nvPicPr>
                    <pic:cNvPr descr="skyw_financial_analysis_files/figure-docx/skyw-cash-flow-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64"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62" name="Picture"/>
            <a:graphic>
              <a:graphicData uri="http://schemas.openxmlformats.org/drawingml/2006/picture">
                <pic:pic>
                  <pic:nvPicPr>
                    <pic:cNvPr descr="skyw_financial_analysis_files/figure-docx/skyw-fcf-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64"/>
    <w:bookmarkEnd w:id="165"/>
    <w:bookmarkStart w:id="178"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67" name="Picture"/>
            <a:graphic>
              <a:graphicData uri="http://schemas.openxmlformats.org/drawingml/2006/picture">
                <pic:pic>
                  <pic:nvPicPr>
                    <pic:cNvPr descr="skyw_financial_analysis_files/figure-docx/skyw-roa-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70" name="Picture"/>
            <a:graphic>
              <a:graphicData uri="http://schemas.openxmlformats.org/drawingml/2006/picture">
                <pic:pic>
                  <pic:nvPicPr>
                    <pic:cNvPr descr="skyw_financial_analysis_files/figure-docx/skyw-roa-decomposition-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73" name="Picture"/>
            <a:graphic>
              <a:graphicData uri="http://schemas.openxmlformats.org/drawingml/2006/picture">
                <pic:pic>
                  <pic:nvPicPr>
                    <pic:cNvPr descr="skyw_financial_analysis_files/figure-docx/skyw-roe-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76" name="Picture"/>
            <a:graphic>
              <a:graphicData uri="http://schemas.openxmlformats.org/drawingml/2006/picture">
                <pic:pic>
                  <pic:nvPicPr>
                    <pic:cNvPr descr="skyw_financial_analysis_files/figure-docx/skyw-roe-decomposition-1.png" id="177" name="Picture"/>
                    <pic:cNvPicPr>
                      <a:picLocks noChangeArrowheads="1" noChangeAspect="1"/>
                    </pic:cNvPicPr>
                  </pic:nvPicPr>
                  <pic:blipFill>
                    <a:blip r:embed="rId1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78"/>
    <w:bookmarkStart w:id="179"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79"/>
    <w:bookmarkEnd w:id="180"/>
    <w:bookmarkStart w:id="181" w:name="comparative-financial-analysis"/>
    <w:p>
      <w:pPr>
        <w:pStyle w:val="Heading1"/>
      </w:pPr>
      <w:r>
        <w:t xml:space="preserve">7. Comparative Financial Analysis</w:t>
      </w:r>
    </w:p>
    <w:bookmarkEnd w:id="181"/>
    <w:bookmarkStart w:id="278" w:name="introduction-2"/>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88"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3" name="Picture"/>
            <a:graphic>
              <a:graphicData uri="http://schemas.openxmlformats.org/drawingml/2006/picture">
                <pic:pic>
                  <pic:nvPicPr>
                    <pic:cNvPr descr="comparative_financial_analysis_files/figure-docx/plot-leverage-ratios-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leverage-ratios-2.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bookmarkEnd w:id="188"/>
    <w:bookmarkStart w:id="195"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90" name="Picture"/>
            <a:graphic>
              <a:graphicData uri="http://schemas.openxmlformats.org/drawingml/2006/picture">
                <pic:pic>
                  <pic:nvPicPr>
                    <pic:cNvPr descr="comparative_financial_analysis_files/figure-docx/cross-sectional%20view%20of%20debt-to-asset%20ratio%20in%202024-1.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3" name="Picture"/>
            <a:graphic>
              <a:graphicData uri="http://schemas.openxmlformats.org/drawingml/2006/picture">
                <pic:pic>
                  <pic:nvPicPr>
                    <pic:cNvPr descr="comparative_financial_analysis_files/figure-docx/cross-sectional%20view%20of%20debt-to-asset%20ratio%20in%202024-2.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bookmarkEnd w:id="195"/>
    <w:bookmarkStart w:id="230" w:name="efficiency-and-profitability-ratios"/>
    <w:p>
      <w:pPr>
        <w:pStyle w:val="Heading2"/>
      </w:pPr>
      <w:r>
        <w:t xml:space="preserve">8.3 Efficiency and Profitability Ratios</w:t>
      </w:r>
    </w:p>
    <w:bookmarkStart w:id="202"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197" name="Picture"/>
            <a:graphic>
              <a:graphicData uri="http://schemas.openxmlformats.org/drawingml/2006/picture">
                <pic:pic>
                  <pic:nvPicPr>
                    <pic:cNvPr descr="comparative_financial_analysis_files/figure-docx/plot-roa-roe-1.png" id="198" name="Picture"/>
                    <pic:cNvPicPr>
                      <a:picLocks noChangeArrowheads="1" noChangeAspect="1"/>
                    </pic:cNvPicPr>
                  </pic:nvPicPr>
                  <pic:blipFill>
                    <a:blip r:embed="rId19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roa-roe-2.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bookmarkEnd w:id="202"/>
    <w:bookmarkStart w:id="209"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204" name="Picture"/>
            <a:graphic>
              <a:graphicData uri="http://schemas.openxmlformats.org/drawingml/2006/picture">
                <pic:pic>
                  <pic:nvPicPr>
                    <pic:cNvPr descr="comparative_financial_analysis_files/figure-docx/plot-capital-structure-leverage-common-earnings-leverag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capital-structure-leverage-common-earnings-leverage-2.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bookmarkEnd w:id="209"/>
    <w:bookmarkStart w:id="219"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211" name="Picture"/>
            <a:graphic>
              <a:graphicData uri="http://schemas.openxmlformats.org/drawingml/2006/picture">
                <pic:pic>
                  <pic:nvPicPr>
                    <pic:cNvPr descr="comparative_financial_analysis_files/figure-docx/plot-efficiency-ratios-1.png" id="212" name="Picture"/>
                    <pic:cNvPicPr>
                      <a:picLocks noChangeArrowheads="1" noChangeAspect="1"/>
                    </pic:cNvPicPr>
                  </pic:nvPicPr>
                  <pic:blipFill>
                    <a:blip r:embed="rId21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4" name="Picture"/>
            <a:graphic>
              <a:graphicData uri="http://schemas.openxmlformats.org/drawingml/2006/picture">
                <pic:pic>
                  <pic:nvPicPr>
                    <pic:cNvPr descr="comparative_financial_analysis_files/figure-docx/plot-efficiency-ratios-2.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7" name="Picture"/>
            <a:graphic>
              <a:graphicData uri="http://schemas.openxmlformats.org/drawingml/2006/picture">
                <pic:pic>
                  <pic:nvPicPr>
                    <pic:cNvPr descr="comparative_financial_analysis_files/figure-docx/plot-efficiency-ratios-3.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bookmarkEnd w:id="219"/>
    <w:bookmarkStart w:id="229"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21" name="Picture"/>
            <a:graphic>
              <a:graphicData uri="http://schemas.openxmlformats.org/drawingml/2006/picture">
                <pic:pic>
                  <pic:nvPicPr>
                    <pic:cNvPr descr="comparative_financial_analysis_files/figure-docx/plot-profitability-ratios-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4" name="Picture"/>
            <a:graphic>
              <a:graphicData uri="http://schemas.openxmlformats.org/drawingml/2006/picture">
                <pic:pic>
                  <pic:nvPicPr>
                    <pic:cNvPr descr="comparative_financial_analysis_files/figure-docx/plot-profitability-ratios-2.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7" name="Picture"/>
            <a:graphic>
              <a:graphicData uri="http://schemas.openxmlformats.org/drawingml/2006/picture">
                <pic:pic>
                  <pic:nvPicPr>
                    <pic:cNvPr descr="comparative_financial_analysis_files/figure-docx/plot-profitability-ratios-3.png" id="228" name="Picture"/>
                    <pic:cNvPicPr>
                      <a:picLocks noChangeArrowheads="1" noChangeAspect="1"/>
                    </pic:cNvPicPr>
                  </pic:nvPicPr>
                  <pic:blipFill>
                    <a:blip r:embed="rId226"/>
                    <a:stretch>
                      <a:fillRect/>
                    </a:stretch>
                  </pic:blipFill>
                  <pic:spPr bwMode="auto">
                    <a:xfrm>
                      <a:off x="0" y="0"/>
                      <a:ext cx="5334000" cy="4267200"/>
                    </a:xfrm>
                    <a:prstGeom prst="rect">
                      <a:avLst/>
                    </a:prstGeom>
                    <a:noFill/>
                    <a:ln w="9525">
                      <a:noFill/>
                      <a:headEnd/>
                      <a:tailEnd/>
                    </a:ln>
                  </pic:spPr>
                </pic:pic>
              </a:graphicData>
            </a:graphic>
          </wp:inline>
        </w:drawing>
      </w:r>
    </w:p>
    <w:bookmarkEnd w:id="229"/>
    <w:bookmarkEnd w:id="230"/>
    <w:bookmarkStart w:id="240"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32" name="Picture"/>
            <a:graphic>
              <a:graphicData uri="http://schemas.openxmlformats.org/drawingml/2006/picture">
                <pic:pic>
                  <pic:nvPicPr>
                    <pic:cNvPr descr="comparative_financial_analysis_files/figure-docx/plot-net-income-ratio-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35" name="Picture"/>
            <a:graphic>
              <a:graphicData uri="http://schemas.openxmlformats.org/drawingml/2006/picture">
                <pic:pic>
                  <pic:nvPicPr>
                    <pic:cNvPr descr="comparative_financial_analysis_files/figure-docx/plot-expense-composition-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38" name="Picture"/>
            <a:graphic>
              <a:graphicData uri="http://schemas.openxmlformats.org/drawingml/2006/picture">
                <pic:pic>
                  <pic:nvPicPr>
                    <pic:cNvPr descr="comparative_financial_analysis_files/figure-docx/plot-margin-comparison_gross-operating-net-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40"/>
    <w:bookmarkStart w:id="247"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42" name="Picture"/>
            <a:graphic>
              <a:graphicData uri="http://schemas.openxmlformats.org/drawingml/2006/picture">
                <pic:pic>
                  <pic:nvPicPr>
                    <pic:cNvPr descr="comparative_financial_analysis_files/figure-docx/plot-capital-structure-liabilities-equity-cash-1.png" id="243" name="Picture"/>
                    <pic:cNvPicPr>
                      <a:picLocks noChangeArrowheads="1" noChangeAspect="1"/>
                    </pic:cNvPicPr>
                  </pic:nvPicPr>
                  <pic:blipFill>
                    <a:blip r:embed="rId2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45" name="Picture"/>
            <a:graphic>
              <a:graphicData uri="http://schemas.openxmlformats.org/drawingml/2006/picture">
                <pic:pic>
                  <pic:nvPicPr>
                    <pic:cNvPr descr="comparative_financial_analysis_files/figure-docx/plot-asset-composition-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47"/>
    <w:bookmarkStart w:id="257"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49" name="Picture"/>
            <a:graphic>
              <a:graphicData uri="http://schemas.openxmlformats.org/drawingml/2006/picture">
                <pic:pic>
                  <pic:nvPicPr>
                    <pic:cNvPr descr="comparative_financial_analysis_files/figure-docx/plot-cash-flow-quality-1.png" id="250" name="Picture"/>
                    <pic:cNvPicPr>
                      <a:picLocks noChangeArrowheads="1" noChangeAspect="1"/>
                    </pic:cNvPicPr>
                  </pic:nvPicPr>
                  <pic:blipFill>
                    <a:blip r:embed="rId2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52" name="Picture"/>
            <a:graphic>
              <a:graphicData uri="http://schemas.openxmlformats.org/drawingml/2006/picture">
                <pic:pic>
                  <pic:nvPicPr>
                    <pic:cNvPr descr="comparative_financial_analysis_files/figure-docx/plot-cash-flow-composition-1.png" id="253" name="Picture"/>
                    <pic:cNvPicPr>
                      <a:picLocks noChangeArrowheads="1" noChangeAspect="1"/>
                    </pic:cNvPicPr>
                  </pic:nvPicPr>
                  <pic:blipFill>
                    <a:blip r:embed="rId2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55" name="Picture"/>
            <a:graphic>
              <a:graphicData uri="http://schemas.openxmlformats.org/drawingml/2006/picture">
                <pic:pic>
                  <pic:nvPicPr>
                    <pic:cNvPr descr="comparative_financial_analysis_files/figure-docx/plot-free-cash-flow-1.png" id="256" name="Picture"/>
                    <pic:cNvPicPr>
                      <a:picLocks noChangeArrowheads="1" noChangeAspect="1"/>
                    </pic:cNvPicPr>
                  </pic:nvPicPr>
                  <pic:blipFill>
                    <a:blip r:embed="rId2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57"/>
    <w:bookmarkStart w:id="261"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59" name="Picture"/>
            <a:graphic>
              <a:graphicData uri="http://schemas.openxmlformats.org/drawingml/2006/picture">
                <pic:pic>
                  <pic:nvPicPr>
                    <pic:cNvPr descr="comparative_financial_analysis_files/figure-docx/net-income-ratio-by-year-and-airline-1.png" id="260" name="Picture"/>
                    <pic:cNvPicPr>
                      <a:picLocks noChangeArrowheads="1" noChangeAspect="1"/>
                    </pic:cNvPicPr>
                  </pic:nvPicPr>
                  <pic:blipFill>
                    <a:blip r:embed="rId2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61"/>
    <w:bookmarkStart w:id="266" w:name="bankruptcy-prediction-model"/>
    <w:p>
      <w:pPr>
        <w:pStyle w:val="Heading2"/>
      </w:pPr>
      <w:r>
        <w:t xml:space="preserve">8.8 Bankruptcy Prediction Model</w:t>
      </w:r>
    </w:p>
    <w:bookmarkStart w:id="265"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63" name="Picture"/>
            <a:graphic>
              <a:graphicData uri="http://schemas.openxmlformats.org/drawingml/2006/picture">
                <pic:pic>
                  <pic:nvPicPr>
                    <pic:cNvPr descr="comparative_financial_analysis_files/figure-docx/plot-altman-z-score-1.png" id="264" name="Picture"/>
                    <pic:cNvPicPr>
                      <a:picLocks noChangeArrowheads="1" noChangeAspect="1"/>
                    </pic:cNvPicPr>
                  </pic:nvPicPr>
                  <pic:blipFill>
                    <a:blip r:embed="rId2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65"/>
    <w:bookmarkEnd w:id="266"/>
    <w:bookmarkStart w:id="277" w:name="operating-leverage-ratios"/>
    <w:p>
      <w:pPr>
        <w:pStyle w:val="Heading2"/>
      </w:pPr>
      <w:r>
        <w:t xml:space="preserve">8.9 Operating Leverage Ratios</w:t>
      </w:r>
    </w:p>
    <w:bookmarkStart w:id="276"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68" name="Picture"/>
            <a:graphic>
              <a:graphicData uri="http://schemas.openxmlformats.org/drawingml/2006/picture">
                <pic:pic>
                  <pic:nvPicPr>
                    <pic:cNvPr descr="comparative_financial_analysis_files/figure-docx/plot-operating-leverage-ratios-1.png" id="269" name="Picture"/>
                    <pic:cNvPicPr>
                      <a:picLocks noChangeArrowheads="1" noChangeAspect="1"/>
                    </pic:cNvPicPr>
                  </pic:nvPicPr>
                  <pic:blipFill>
                    <a:blip r:embed="rId26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1" name="Picture"/>
            <a:graphic>
              <a:graphicData uri="http://schemas.openxmlformats.org/drawingml/2006/picture">
                <pic:pic>
                  <pic:nvPicPr>
                    <pic:cNvPr descr="comparative_financial_analysis_files/figure-docx/plot-operating-leverage-ratios-2.png" id="272" name="Picture"/>
                    <pic:cNvPicPr>
                      <a:picLocks noChangeArrowheads="1" noChangeAspect="1"/>
                    </pic:cNvPicPr>
                  </pic:nvPicPr>
                  <pic:blipFill>
                    <a:blip r:embed="rId2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4" name="Picture"/>
            <a:graphic>
              <a:graphicData uri="http://schemas.openxmlformats.org/drawingml/2006/picture">
                <pic:pic>
                  <pic:nvPicPr>
                    <pic:cNvPr descr="comparative_financial_analysis_files/figure-docx/plot-operating-leverage-ratios-3.png" id="275" name="Picture"/>
                    <pic:cNvPicPr>
                      <a:picLocks noChangeArrowheads="1" noChangeAspect="1"/>
                    </pic:cNvPicPr>
                  </pic:nvPicPr>
                  <pic:blipFill>
                    <a:blip r:embed="rId273"/>
                    <a:stretch>
                      <a:fillRect/>
                    </a:stretch>
                  </pic:blipFill>
                  <pic:spPr bwMode="auto">
                    <a:xfrm>
                      <a:off x="0" y="0"/>
                      <a:ext cx="5334000" cy="4267200"/>
                    </a:xfrm>
                    <a:prstGeom prst="rect">
                      <a:avLst/>
                    </a:prstGeom>
                    <a:noFill/>
                    <a:ln w="9525">
                      <a:noFill/>
                      <a:headEnd/>
                      <a:tailEnd/>
                    </a:ln>
                  </pic:spPr>
                </pic:pic>
              </a:graphicData>
            </a:graphic>
          </wp:inline>
        </w:drawing>
      </w:r>
    </w:p>
    <w:bookmarkEnd w:id="276"/>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44" Target="media/rId244.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41" Target="media/rId241.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34" Target="media/rId234.png" /><Relationship Type="http://schemas.openxmlformats.org/officeDocument/2006/relationships/image" Id="rId254" Target="media/rId25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237" Target="media/rId237.png" /><Relationship Type="http://schemas.openxmlformats.org/officeDocument/2006/relationships/image" Id="rId231" Target="media/rId231.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50" Target="media/rId150.png" /><Relationship Type="http://schemas.openxmlformats.org/officeDocument/2006/relationships/image" Id="rId158" Target="media/rId158.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5" Target="media/rId145.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Riccardo Bronzini, Noberto Curitomai, Robert DeLintt &amp; Ronak Shah</dc:creator>
  <dc:description>A comprehensive financial analysis of the US airline sector, exploring key metrics and trends.</dc:description>
  <cp:keywords/>
  <dcterms:created xsi:type="dcterms:W3CDTF">2025-11-16T22:08:17Z</dcterms:created>
  <dcterms:modified xsi:type="dcterms:W3CDTF">2025-11-16T22:08:17Z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