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png" ContentType="image/png"/>
  <Override PartName="/word/media/rId178.png" ContentType="image/png"/>
  <Override PartName="/word/media/rId244.png" ContentType="image/png"/>
  <Override PartName="/word/media/rId230.png" ContentType="image/png"/>
  <Override PartName="/word/media/rId189.png" ContentType="image/png"/>
  <Override PartName="/word/media/rId192.png" ContentType="image/png"/>
  <Override PartName="/word/media/rId227.png" ContentType="image/png"/>
  <Override PartName="/word/media/rId237.png" ContentType="image/png"/>
  <Override PartName="/word/media/rId234.png" ContentType="image/png"/>
  <Override PartName="/word/media/rId196.png" ContentType="image/png"/>
  <Override PartName="/word/media/rId199.png" ContentType="image/png"/>
  <Override PartName="/word/media/rId202.png" ContentType="image/png"/>
  <Override PartName="/word/media/rId220.png" ContentType="image/png"/>
  <Override PartName="/word/media/rId240.png" ContentType="image/png"/>
  <Override PartName="/word/media/rId168.png" ContentType="image/png"/>
  <Override PartName="/word/media/rId171.png" ContentType="image/png"/>
  <Override PartName="/word/media/rId164.png" ContentType="image/png"/>
  <Override PartName="/word/media/rId223.png" ContentType="image/png"/>
  <Override PartName="/word/media/rId217.png" ContentType="image/png"/>
  <Override PartName="/word/media/rId206.png" ContentType="image/png"/>
  <Override PartName="/word/media/rId209.png" ContentType="image/png"/>
  <Override PartName="/word/media/rId212.png" ContentType="image/png"/>
  <Override PartName="/word/media/rId182.png" ContentType="image/png"/>
  <Override PartName="/word/media/rId185.png" ContentType="image/png"/>
  <Override PartName="/word/media/rId87.png" ContentType="image/png"/>
  <Override PartName="/word/media/rId95.png" ContentType="image/png"/>
  <Override PartName="/word/media/rId90.png" ContentType="image/png"/>
  <Override PartName="/word/media/rId98.png" ContentType="image/png"/>
  <Override PartName="/word/media/rId83.png" ContentType="image/png"/>
  <Override PartName="/word/media/rId74.png" ContentType="image/png"/>
  <Override PartName="/word/media/rId78.png" ContentType="image/png"/>
  <Override PartName="/word/media/rId103.png" ContentType="image/png"/>
  <Override PartName="/word/media/rId106.png" ContentType="image/png"/>
  <Override PartName="/word/media/rId109.png" ContentType="image/png"/>
  <Override PartName="/word/media/rId112.png" ContentType="image/png"/>
  <Override PartName="/word/media/rId131.png" ContentType="image/png"/>
  <Override PartName="/word/media/rId139.png" ContentType="image/png"/>
  <Override PartName="/word/media/rId134.png" ContentType="image/png"/>
  <Override PartName="/word/media/rId142.png" ContentType="image/png"/>
  <Override PartName="/word/media/rId126.png" ContentType="image/png"/>
  <Override PartName="/word/media/rId118.png" ContentType="image/png"/>
  <Override PartName="/word/media/rId122.png" ContentType="image/png"/>
  <Override PartName="/word/media/rId147.png" ContentType="image/png"/>
  <Override PartName="/word/media/rId150.png" ContentType="image/png"/>
  <Override PartName="/word/media/rId153.png" ContentType="image/png"/>
  <Override PartName="/word/media/rId156.png" ContentType="image/png"/>
  <Override PartName="/word/media/rId43.png" ContentType="image/png"/>
  <Override PartName="/word/media/rId51.png" ContentType="image/png"/>
  <Override PartName="/word/media/rId46.png" ContentType="image/png"/>
  <Override PartName="/word/media/rId54.png" ContentType="image/png"/>
  <Override PartName="/word/media/rId38.png" ContentType="image/png"/>
  <Override PartName="/word/media/rId30.png" ContentType="image/png"/>
  <Override PartName="/word/media/rId34.png" ContentType="image/png"/>
  <Override PartName="/word/media/rId59.png" ContentType="image/png"/>
  <Override PartName="/word/media/rId62.png" ContentType="image/png"/>
  <Override PartName="/word/media/rId65.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Robert, Noberto, Riccardo &amp; Ronak</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3" w:name="introduction"/>
    <w:p>
      <w:pPr>
        <w:pStyle w:val="Heading1"/>
      </w:pPr>
      <w:r>
        <w:t xml:space="preserve">1. Introduction</w:t>
      </w:r>
    </w:p>
    <w:p>
      <w:pPr>
        <w:pStyle w:val="FirstParagraph"/>
      </w:pPr>
      <w:r>
        <w:t xml:space="preserve">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End w:id="23"/>
    <w:bookmarkStart w:id="2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4">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5">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6">
        <w:r>
          <w:rPr>
            <w:rStyle w:val="Hyperlink"/>
          </w:rPr>
          <w:t xml:space="preserve">https://www.tidyverse.org/</w:t>
        </w:r>
      </w:hyperlink>
    </w:p>
    <w:p>
      <w:pPr>
        <w:pStyle w:val="Compact"/>
        <w:numPr>
          <w:ilvl w:val="0"/>
          <w:numId w:val="1001"/>
        </w:numPr>
      </w:pPr>
      <w:r>
        <w:t xml:space="preserve">Tidyfinance R Package:</w:t>
      </w:r>
      <w:r>
        <w:t xml:space="preserve"> </w:t>
      </w:r>
      <w:hyperlink r:id="rId27">
        <w:r>
          <w:rPr>
            <w:rStyle w:val="Hyperlink"/>
          </w:rPr>
          <w:t xml:space="preserve">https://www.tidy-finance.org/r/financial-statement-analysis.html</w:t>
        </w:r>
      </w:hyperlink>
    </w:p>
    <w:p>
      <w:pPr>
        <w:pStyle w:val="Compact"/>
        <w:numPr>
          <w:ilvl w:val="0"/>
          <w:numId w:val="1001"/>
        </w:numPr>
      </w:pPr>
      <w:r>
        <w:t xml:space="preserve">ggthemr R Package</w:t>
      </w:r>
    </w:p>
    <w:bookmarkEnd w:id="28"/>
    <w:bookmarkStart w:id="29" w:name="executive-summary"/>
    <w:p>
      <w:pPr>
        <w:pStyle w:val="Heading1"/>
      </w:pPr>
      <w:r>
        <w:t xml:space="preserve">3. Executive Summary</w:t>
      </w:r>
    </w:p>
    <w:p>
      <w:pPr>
        <w:pStyle w:val="FirstParagraph"/>
      </w:pPr>
      <w:r>
        <w:t xml:space="preserve">The industry-wide data reveals a clear trajectory from the severe operational and financial downturn of 2020 towards a sustained, albeit uneven, recovery. Revenue across all three carriers collapsed during the pandemic’s initial phase, leading to significant net losses. However, the subsequent years show a strong rebound in top-line growth, with United Airlines leading in sheer scale. Profitability has been slower to recover, hampered by volatile fuel costs and labor expenses. The analysis highlights that while revenue has largely normalized, the quality of earnings and the strength of balance sheets remain key differentiators among competitors.</w:t>
      </w:r>
    </w:p>
    <w:p>
      <w:pPr>
        <w:pStyle w:val="BodyText"/>
      </w:pPr>
      <w:r>
        <w:t xml:space="preserve">The single most important insight from this comparative analysis is that SkyWest (SKW) demonstrates the most resilient and strategically advantageous financial profile. While United’s recovery in scale is impressive, SkyWest’s strength is rooted in its fundamental stability. This conclusion is supported by its superior balance sheet health, exemplified by a Net Debt-to-Equity ratio of just 81% in 2024, compared to UAL’s significantly higher 151%. Furthermore, SkyWest has generated consistent positive free cash flow annually since 2022, a feat JetBlue has not accomplished. This combination of low leverage and reliable internal cash generation positions SkyWest exceptionally well to navigate future market uncertainties and capitalize on opportunities without being constrained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p>
      <w:pPr>
        <w:pStyle w:val="BodyText"/>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29"/>
    <w:bookmarkStart w:id="73"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33"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31" name="Picture"/>
            <a:graphic>
              <a:graphicData uri="http://schemas.openxmlformats.org/drawingml/2006/picture">
                <pic:pic>
                  <pic:nvPicPr>
                    <pic:cNvPr descr="ual_financial_analysis_files/figure-docx/ual-mkt-cap-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33"/>
    <w:bookmarkStart w:id="42" w:name="income-sustainability-and-recovery"/>
    <w:p>
      <w:pPr>
        <w:pStyle w:val="Heading2"/>
      </w:pPr>
      <w:r>
        <w:t xml:space="preserve">4.2 Income Sustainability and Recovery</w:t>
      </w:r>
    </w:p>
    <w:bookmarkStart w:id="37"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35" name="Picture"/>
            <a:graphic>
              <a:graphicData uri="http://schemas.openxmlformats.org/drawingml/2006/picture">
                <pic:pic>
                  <pic:nvPicPr>
                    <pic:cNvPr descr="ual_financial_analysis_files/figure-docx/ual-profitability-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37"/>
    <w:bookmarkStart w:id="41"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39" name="Picture"/>
            <a:graphic>
              <a:graphicData uri="http://schemas.openxmlformats.org/drawingml/2006/picture">
                <pic:pic>
                  <pic:nvPicPr>
                    <pic:cNvPr descr="ual_financial_analysis_files/figure-docx/ual-margins-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41"/>
    <w:bookmarkEnd w:id="42"/>
    <w:bookmarkStart w:id="50"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44" name="Picture"/>
            <a:graphic>
              <a:graphicData uri="http://schemas.openxmlformats.org/drawingml/2006/picture">
                <pic:pic>
                  <pic:nvPicPr>
                    <pic:cNvPr descr="ual_financial_analysis_files/figure-docx/ual-balance-sheet-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49"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47" name="Picture"/>
            <a:graphic>
              <a:graphicData uri="http://schemas.openxmlformats.org/drawingml/2006/picture">
                <pic:pic>
                  <pic:nvPicPr>
                    <pic:cNvPr descr="ual_financial_analysis_files/figure-docx/ual-debt-equity-1.png" id="48" name="Picture"/>
                    <pic:cNvPicPr>
                      <a:picLocks noChangeArrowheads="1" noChangeAspect="1"/>
                    </pic:cNvPicPr>
                  </pic:nvPicPr>
                  <pic:blipFill>
                    <a:blip r:embed="rId4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49"/>
    <w:bookmarkEnd w:id="50"/>
    <w:bookmarkStart w:id="58"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52" name="Picture"/>
            <a:graphic>
              <a:graphicData uri="http://schemas.openxmlformats.org/drawingml/2006/picture">
                <pic:pic>
                  <pic:nvPicPr>
                    <pic:cNvPr descr="ual_financial_analysis_files/figure-docx/ual-cash-flow-1.png" id="53" name="Picture"/>
                    <pic:cNvPicPr>
                      <a:picLocks noChangeArrowheads="1" noChangeAspect="1"/>
                    </pic:cNvPicPr>
                  </pic:nvPicPr>
                  <pic:blipFill>
                    <a:blip r:embed="rId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57"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55" name="Picture"/>
            <a:graphic>
              <a:graphicData uri="http://schemas.openxmlformats.org/drawingml/2006/picture">
                <pic:pic>
                  <pic:nvPicPr>
                    <pic:cNvPr descr="ual_financial_analysis_files/figure-docx/ual-fcf-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57"/>
    <w:bookmarkEnd w:id="58"/>
    <w:bookmarkStart w:id="71"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60" name="Picture"/>
            <a:graphic>
              <a:graphicData uri="http://schemas.openxmlformats.org/drawingml/2006/picture">
                <pic:pic>
                  <pic:nvPicPr>
                    <pic:cNvPr descr="ual_financial_analysis_files/figure-docx/ual-roa-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63" name="Picture"/>
            <a:graphic>
              <a:graphicData uri="http://schemas.openxmlformats.org/drawingml/2006/picture">
                <pic:pic>
                  <pic:nvPicPr>
                    <pic:cNvPr descr="ual_financial_analysis_files/figure-docx/ual-roa-decomposition-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66" name="Picture"/>
            <a:graphic>
              <a:graphicData uri="http://schemas.openxmlformats.org/drawingml/2006/picture">
                <pic:pic>
                  <pic:nvPicPr>
                    <pic:cNvPr descr="ual_financial_analysis_files/figure-docx/ual-roe-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69" name="Picture"/>
            <a:graphic>
              <a:graphicData uri="http://schemas.openxmlformats.org/drawingml/2006/picture">
                <pic:pic>
                  <pic:nvPicPr>
                    <pic:cNvPr descr="ual_financial_analysis_files/figure-docx/ual-roe-decomposition-1.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71"/>
    <w:bookmarkStart w:id="72"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72"/>
    <w:bookmarkEnd w:id="73"/>
    <w:bookmarkStart w:id="117"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77"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75" name="Picture"/>
            <a:graphic>
              <a:graphicData uri="http://schemas.openxmlformats.org/drawingml/2006/picture">
                <pic:pic>
                  <pic:nvPicPr>
                    <pic:cNvPr descr="jblu_financial_analysis_files/figure-docx/jblu-mkt-cap-1.png" id="76" name="Picture"/>
                    <pic:cNvPicPr>
                      <a:picLocks noChangeArrowheads="1" noChangeAspect="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77"/>
    <w:bookmarkStart w:id="82" w:name="income-statement-overview"/>
    <w:p>
      <w:pPr>
        <w:pStyle w:val="Heading2"/>
      </w:pPr>
      <w:r>
        <w:t xml:space="preserve">5.2 Income Statement Overview</w:t>
      </w:r>
    </w:p>
    <w:bookmarkStart w:id="81"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79" name="Picture"/>
            <a:graphic>
              <a:graphicData uri="http://schemas.openxmlformats.org/drawingml/2006/picture">
                <pic:pic>
                  <pic:nvPicPr>
                    <pic:cNvPr descr="jblu_financial_analysis_files/figure-docx/jblu-profitability-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81"/>
    <w:bookmarkEnd w:id="82"/>
    <w:bookmarkStart w:id="86"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84" name="Picture"/>
            <a:graphic>
              <a:graphicData uri="http://schemas.openxmlformats.org/drawingml/2006/picture">
                <pic:pic>
                  <pic:nvPicPr>
                    <pic:cNvPr descr="jblu_financial_analysis_files/figure-docx/jblu-margin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86"/>
    <w:bookmarkStart w:id="94"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88" name="Picture"/>
            <a:graphic>
              <a:graphicData uri="http://schemas.openxmlformats.org/drawingml/2006/picture">
                <pic:pic>
                  <pic:nvPicPr>
                    <pic:cNvPr descr="jblu_financial_analysis_files/figure-docx/jblu-balance-sheet-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93"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91" name="Picture"/>
            <a:graphic>
              <a:graphicData uri="http://schemas.openxmlformats.org/drawingml/2006/picture">
                <pic:pic>
                  <pic:nvPicPr>
                    <pic:cNvPr descr="jblu_financial_analysis_files/figure-docx/jblu-debt-equity-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93"/>
    <w:bookmarkEnd w:id="94"/>
    <w:bookmarkStart w:id="102"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96" name="Picture"/>
            <a:graphic>
              <a:graphicData uri="http://schemas.openxmlformats.org/drawingml/2006/picture">
                <pic:pic>
                  <pic:nvPicPr>
                    <pic:cNvPr descr="jblu_financial_analysis_files/figure-docx/jblu-cash-flow-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01"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99" name="Picture"/>
            <a:graphic>
              <a:graphicData uri="http://schemas.openxmlformats.org/drawingml/2006/picture">
                <pic:pic>
                  <pic:nvPicPr>
                    <pic:cNvPr descr="jblu_financial_analysis_files/figure-docx/jblu-fcf-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01"/>
    <w:bookmarkEnd w:id="102"/>
    <w:bookmarkStart w:id="115"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04" name="Picture"/>
            <a:graphic>
              <a:graphicData uri="http://schemas.openxmlformats.org/drawingml/2006/picture">
                <pic:pic>
                  <pic:nvPicPr>
                    <pic:cNvPr descr="jblu_financial_analysis_files/figure-docx/jblu-roa-1.png" id="105" name="Picture"/>
                    <pic:cNvPicPr>
                      <a:picLocks noChangeArrowheads="1" noChangeAspect="1"/>
                    </pic:cNvPicPr>
                  </pic:nvPicPr>
                  <pic:blipFill>
                    <a:blip r:embed="rId10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07" name="Picture"/>
            <a:graphic>
              <a:graphicData uri="http://schemas.openxmlformats.org/drawingml/2006/picture">
                <pic:pic>
                  <pic:nvPicPr>
                    <pic:cNvPr descr="jblu_financial_analysis_files/figure-docx/jblu-roa-decomposition-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10" name="Picture"/>
            <a:graphic>
              <a:graphicData uri="http://schemas.openxmlformats.org/drawingml/2006/picture">
                <pic:pic>
                  <pic:nvPicPr>
                    <pic:cNvPr descr="jblu_financial_analysis_files/figure-docx/jblu-roe-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13" name="Picture"/>
            <a:graphic>
              <a:graphicData uri="http://schemas.openxmlformats.org/drawingml/2006/picture">
                <pic:pic>
                  <pic:nvPicPr>
                    <pic:cNvPr descr="jblu_financial_analysis_files/figure-docx/jblu-roe-decomposition-1.png" id="114" name="Picture"/>
                    <pic:cNvPicPr>
                      <a:picLocks noChangeArrowheads="1" noChangeAspect="1"/>
                    </pic:cNvPicPr>
                  </pic:nvPicPr>
                  <pic:blipFill>
                    <a:blip r:embed="rId11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15"/>
    <w:bookmarkStart w:id="116"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16"/>
    <w:bookmarkEnd w:id="117"/>
    <w:bookmarkStart w:id="161"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21"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19" name="Picture"/>
            <a:graphic>
              <a:graphicData uri="http://schemas.openxmlformats.org/drawingml/2006/picture">
                <pic:pic>
                  <pic:nvPicPr>
                    <pic:cNvPr descr="skyw_financial_analysis_files/figure-docx/skyw-mkt-cap-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21"/>
    <w:bookmarkStart w:id="130" w:name="income-statement-and-profitability"/>
    <w:p>
      <w:pPr>
        <w:pStyle w:val="Heading2"/>
      </w:pPr>
      <w:r>
        <w:t xml:space="preserve">6.2 Income Statement and Profitability</w:t>
      </w:r>
    </w:p>
    <w:bookmarkStart w:id="125"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23" name="Picture"/>
            <a:graphic>
              <a:graphicData uri="http://schemas.openxmlformats.org/drawingml/2006/picture">
                <pic:pic>
                  <pic:nvPicPr>
                    <pic:cNvPr descr="skyw_financial_analysis_files/figure-docx/skyw-profitability-1.png" id="124" name="Picture"/>
                    <pic:cNvPicPr>
                      <a:picLocks noChangeArrowheads="1" noChangeAspect="1"/>
                    </pic:cNvPicPr>
                  </pic:nvPicPr>
                  <pic:blipFill>
                    <a:blip r:embed="rId12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25"/>
    <w:bookmarkStart w:id="129"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27" name="Picture"/>
            <a:graphic>
              <a:graphicData uri="http://schemas.openxmlformats.org/drawingml/2006/picture">
                <pic:pic>
                  <pic:nvPicPr>
                    <pic:cNvPr descr="skyw_financial_analysis_files/figure-docx/skyw-margins-1.png" id="128" name="Picture"/>
                    <pic:cNvPicPr>
                      <a:picLocks noChangeArrowheads="1" noChangeAspect="1"/>
                    </pic:cNvPicPr>
                  </pic:nvPicPr>
                  <pic:blipFill>
                    <a:blip r:embed="rId12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29"/>
    <w:bookmarkEnd w:id="130"/>
    <w:bookmarkStart w:id="138"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32" name="Picture"/>
            <a:graphic>
              <a:graphicData uri="http://schemas.openxmlformats.org/drawingml/2006/picture">
                <pic:pic>
                  <pic:nvPicPr>
                    <pic:cNvPr descr="skyw_financial_analysis_files/figure-docx/skyw-balance-sheet-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37"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35" name="Picture"/>
            <a:graphic>
              <a:graphicData uri="http://schemas.openxmlformats.org/drawingml/2006/picture">
                <pic:pic>
                  <pic:nvPicPr>
                    <pic:cNvPr descr="skyw_financial_analysis_files/figure-docx/skyw-debt-equity-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37"/>
    <w:bookmarkEnd w:id="138"/>
    <w:bookmarkStart w:id="146"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40" name="Picture"/>
            <a:graphic>
              <a:graphicData uri="http://schemas.openxmlformats.org/drawingml/2006/picture">
                <pic:pic>
                  <pic:nvPicPr>
                    <pic:cNvPr descr="skyw_financial_analysis_files/figure-docx/skyw-cash-flow-1.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45"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43" name="Picture"/>
            <a:graphic>
              <a:graphicData uri="http://schemas.openxmlformats.org/drawingml/2006/picture">
                <pic:pic>
                  <pic:nvPicPr>
                    <pic:cNvPr descr="skyw_financial_analysis_files/figure-docx/skyw-fcf-1.png" id="144" name="Picture"/>
                    <pic:cNvPicPr>
                      <a:picLocks noChangeArrowheads="1" noChangeAspect="1"/>
                    </pic:cNvPicPr>
                  </pic:nvPicPr>
                  <pic:blipFill>
                    <a:blip r:embed="rId14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45"/>
    <w:bookmarkEnd w:id="146"/>
    <w:bookmarkStart w:id="159"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48" name="Picture"/>
            <a:graphic>
              <a:graphicData uri="http://schemas.openxmlformats.org/drawingml/2006/picture">
                <pic:pic>
                  <pic:nvPicPr>
                    <pic:cNvPr descr="skyw_financial_analysis_files/figure-docx/skyw-roa-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51" name="Picture"/>
            <a:graphic>
              <a:graphicData uri="http://schemas.openxmlformats.org/drawingml/2006/picture">
                <pic:pic>
                  <pic:nvPicPr>
                    <pic:cNvPr descr="skyw_financial_analysis_files/figure-docx/skyw-roa-decomposition-1.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54" name="Picture"/>
            <a:graphic>
              <a:graphicData uri="http://schemas.openxmlformats.org/drawingml/2006/picture">
                <pic:pic>
                  <pic:nvPicPr>
                    <pic:cNvPr descr="skyw_financial_analysis_files/figure-docx/skyw-roe-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57" name="Picture"/>
            <a:graphic>
              <a:graphicData uri="http://schemas.openxmlformats.org/drawingml/2006/picture">
                <pic:pic>
                  <pic:nvPicPr>
                    <pic:cNvPr descr="skyw_financial_analysis_files/figure-docx/skyw-roe-decomposition-1.png" id="158" name="Picture"/>
                    <pic:cNvPicPr>
                      <a:picLocks noChangeArrowheads="1" noChangeAspect="1"/>
                    </pic:cNvPicPr>
                  </pic:nvPicPr>
                  <pic:blipFill>
                    <a:blip r:embed="rId15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59"/>
    <w:bookmarkStart w:id="160"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60"/>
    <w:bookmarkEnd w:id="161"/>
    <w:bookmarkStart w:id="162" w:name="comparative-financial-analysis"/>
    <w:p>
      <w:pPr>
        <w:pStyle w:val="Heading1"/>
      </w:pPr>
      <w:r>
        <w:t xml:space="preserve">7. Comparative Financial Analysis</w:t>
      </w:r>
    </w:p>
    <w:bookmarkEnd w:id="162"/>
    <w:bookmarkStart w:id="248" w:name="introduction-1"/>
    <w:p>
      <w:pPr>
        <w:pStyle w:val="Heading1"/>
      </w:pPr>
      <w:r>
        <w:t xml:space="preserve">8. Introduction</w:t>
      </w:r>
    </w:p>
    <w:p>
      <w:pPr>
        <w:pStyle w:val="FirstParagraph"/>
      </w:pPr>
      <w:r>
        <w:t xml:space="preserve">This blog explores the financial performance of selected airlines using various financial analysis techniques including time series, cross-sectional, and panel data analysis.</w:t>
      </w:r>
    </w:p>
    <w:p>
      <w:pPr>
        <w:pStyle w:val="BodyText"/>
      </w:pPr>
      <w:r>
        <w:t xml:space="preserve">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63" w:name="data-collection"/>
    <w:p>
      <w:pPr>
        <w:pStyle w:val="Heading2"/>
      </w:pPr>
      <w:r>
        <w:t xml:space="preserve">8.1 Data Collection</w:t>
      </w:r>
    </w:p>
    <w:p>
      <w:pPr>
        <w:pStyle w:val="FirstParagraph"/>
      </w:pPr>
      <w:r>
        <w:t xml:space="preserve">We collected data using Financial Modeling Prep (FMP) API. You can get your free API key by signing up at https://financialmodelingprep.com/developer/docs/pricing/</w:t>
      </w:r>
    </w:p>
    <w:bookmarkEnd w:id="163"/>
    <w:bookmarkStart w:id="167" w:name="liquidity-ratios"/>
    <w:p>
      <w:pPr>
        <w:pStyle w:val="Heading2"/>
      </w:pPr>
      <w:r>
        <w:t xml:space="preserve">8.2 Liquidity Ratios</w:t>
      </w:r>
    </w:p>
    <w:p>
      <w:pPr>
        <w:pStyle w:val="FirstParagraph"/>
      </w:pPr>
      <w:r>
        <w:drawing>
          <wp:inline>
            <wp:extent cx="5334000" cy="4267200"/>
            <wp:effectExtent b="0" l="0" r="0" t="0"/>
            <wp:docPr descr="" title="" id="165" name="Picture"/>
            <a:graphic>
              <a:graphicData uri="http://schemas.openxmlformats.org/drawingml/2006/picture">
                <pic:pic>
                  <pic:nvPicPr>
                    <pic:cNvPr descr="comparative_financial_analysis_files/figure-docx/plot-liquidity-ratios-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bookmarkEnd w:id="167"/>
    <w:bookmarkStart w:id="174" w:name="leverage-ratios"/>
    <w:p>
      <w:pPr>
        <w:pStyle w:val="Heading2"/>
      </w:pPr>
      <w:r>
        <w:t xml:space="preserve">8.3 Leverage Ratios</w:t>
      </w:r>
    </w:p>
    <w:p>
      <w:pPr>
        <w:pStyle w:val="FirstParagraph"/>
      </w:pPr>
      <w:r>
        <w:drawing>
          <wp:inline>
            <wp:extent cx="5334000" cy="4267200"/>
            <wp:effectExtent b="0" l="0" r="0" t="0"/>
            <wp:docPr descr="" title="" id="169" name="Picture"/>
            <a:graphic>
              <a:graphicData uri="http://schemas.openxmlformats.org/drawingml/2006/picture">
                <pic:pic>
                  <pic:nvPicPr>
                    <pic:cNvPr descr="comparative_financial_analysis_files/figure-docx/plot-leverage-ratios-1.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72" name="Picture"/>
            <a:graphic>
              <a:graphicData uri="http://schemas.openxmlformats.org/drawingml/2006/picture">
                <pic:pic>
                  <pic:nvPicPr>
                    <pic:cNvPr descr="comparative_financial_analysis_files/figure-docx/plot-leverage-ratios-2.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bookmarkEnd w:id="174"/>
    <w:bookmarkStart w:id="181" w:name="Xb6b05eec95260fbf68c6ef8e2d1681e241f4ead"/>
    <w:p>
      <w:pPr>
        <w:pStyle w:val="Heading2"/>
      </w:pPr>
      <w:r>
        <w:t xml:space="preserve">8.4 Cross-Sectional Analysis of Debt to Asset Ratio in 2024</w:t>
      </w:r>
    </w:p>
    <w:p>
      <w:pPr>
        <w:pStyle w:val="FirstParagraph"/>
      </w:pPr>
      <w:r>
        <w:drawing>
          <wp:inline>
            <wp:extent cx="5334000" cy="4267200"/>
            <wp:effectExtent b="0" l="0" r="0" t="0"/>
            <wp:docPr descr="" title="" id="176" name="Picture"/>
            <a:graphic>
              <a:graphicData uri="http://schemas.openxmlformats.org/drawingml/2006/picture">
                <pic:pic>
                  <pic:nvPicPr>
                    <pic:cNvPr descr="comparative_financial_analysis_files/figure-docx/cross-sectional%20view%20of%20debt-to-asset%20ratio%20in%202024-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79" name="Picture"/>
            <a:graphic>
              <a:graphicData uri="http://schemas.openxmlformats.org/drawingml/2006/picture">
                <pic:pic>
                  <pic:nvPicPr>
                    <pic:cNvPr descr="comparative_financial_analysis_files/figure-docx/cross-sectional%20view%20of%20debt-to-asset%20ratio%20in%202024-2.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bookmarkEnd w:id="181"/>
    <w:bookmarkStart w:id="216" w:name="efficiency-and-profitability-ratios"/>
    <w:p>
      <w:pPr>
        <w:pStyle w:val="Heading2"/>
      </w:pPr>
      <w:r>
        <w:t xml:space="preserve">8.5 Efficiency and Profitability Ratios</w:t>
      </w:r>
    </w:p>
    <w:bookmarkStart w:id="188" w:name="roa-roe"/>
    <w:p>
      <w:pPr>
        <w:pStyle w:val="Heading3"/>
      </w:pPr>
      <w:r>
        <w:t xml:space="preserve">8.5.1 ROA ROE</w:t>
      </w:r>
    </w:p>
    <w:p>
      <w:pPr>
        <w:pStyle w:val="FirstParagraph"/>
      </w:pPr>
      <w:r>
        <w:drawing>
          <wp:inline>
            <wp:extent cx="5334000" cy="4267200"/>
            <wp:effectExtent b="0" l="0" r="0" t="0"/>
            <wp:docPr descr="" title="" id="183" name="Picture"/>
            <a:graphic>
              <a:graphicData uri="http://schemas.openxmlformats.org/drawingml/2006/picture">
                <pic:pic>
                  <pic:nvPicPr>
                    <pic:cNvPr descr="comparative_financial_analysis_files/figure-docx/plot-roa-roe-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roa-roe-2.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bookmarkEnd w:id="188"/>
    <w:bookmarkStart w:id="195" w:name="X7d6671735b474d47ef725eb4d4499d9c7b90ef0"/>
    <w:p>
      <w:pPr>
        <w:pStyle w:val="Heading3"/>
      </w:pPr>
      <w:r>
        <w:t xml:space="preserve">8.5.2 Capital Structure Leverage and Common Earnings Leverage</w:t>
      </w:r>
    </w:p>
    <w:p>
      <w:pPr>
        <w:pStyle w:val="FirstParagraph"/>
      </w:pPr>
      <w:r>
        <w:drawing>
          <wp:inline>
            <wp:extent cx="5334000" cy="4267200"/>
            <wp:effectExtent b="0" l="0" r="0" t="0"/>
            <wp:docPr descr="" title="" id="190" name="Picture"/>
            <a:graphic>
              <a:graphicData uri="http://schemas.openxmlformats.org/drawingml/2006/picture">
                <pic:pic>
                  <pic:nvPicPr>
                    <pic:cNvPr descr="comparative_financial_analysis_files/figure-docx/plot-capital-structure-leverage-common-earnings-leverage-1.png" id="191" name="Picture"/>
                    <pic:cNvPicPr>
                      <a:picLocks noChangeArrowheads="1" noChangeAspect="1"/>
                    </pic:cNvPicPr>
                  </pic:nvPicPr>
                  <pic:blipFill>
                    <a:blip r:embed="rId18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3" name="Picture"/>
            <a:graphic>
              <a:graphicData uri="http://schemas.openxmlformats.org/drawingml/2006/picture">
                <pic:pic>
                  <pic:nvPicPr>
                    <pic:cNvPr descr="comparative_financial_analysis_files/figure-docx/plot-capital-structure-leverage-common-earnings-leverage-2.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bookmarkEnd w:id="195"/>
    <w:bookmarkStart w:id="205" w:name="efficiency-ratios-over-time"/>
    <w:p>
      <w:pPr>
        <w:pStyle w:val="Heading3"/>
      </w:pPr>
      <w:r>
        <w:t xml:space="preserve">8.5.3 Efficiency Ratios Over Time</w:t>
      </w:r>
    </w:p>
    <w:p>
      <w:pPr>
        <w:pStyle w:val="FirstParagraph"/>
      </w:pPr>
      <w:r>
        <w:drawing>
          <wp:inline>
            <wp:extent cx="5334000" cy="4267200"/>
            <wp:effectExtent b="0" l="0" r="0" t="0"/>
            <wp:docPr descr="" title="" id="197" name="Picture"/>
            <a:graphic>
              <a:graphicData uri="http://schemas.openxmlformats.org/drawingml/2006/picture">
                <pic:pic>
                  <pic:nvPicPr>
                    <pic:cNvPr descr="comparative_financial_analysis_files/figure-docx/plot-efficiency-ratios-1.png" id="198" name="Picture"/>
                    <pic:cNvPicPr>
                      <a:picLocks noChangeArrowheads="1" noChangeAspect="1"/>
                    </pic:cNvPicPr>
                  </pic:nvPicPr>
                  <pic:blipFill>
                    <a:blip r:embed="rId19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efficiency-ratios-2.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3" name="Picture"/>
            <a:graphic>
              <a:graphicData uri="http://schemas.openxmlformats.org/drawingml/2006/picture">
                <pic:pic>
                  <pic:nvPicPr>
                    <pic:cNvPr descr="comparative_financial_analysis_files/figure-docx/plot-efficiency-ratios-3.png" id="204" name="Picture"/>
                    <pic:cNvPicPr>
                      <a:picLocks noChangeArrowheads="1" noChangeAspect="1"/>
                    </pic:cNvPicPr>
                  </pic:nvPicPr>
                  <pic:blipFill>
                    <a:blip r:embed="rId202"/>
                    <a:stretch>
                      <a:fillRect/>
                    </a:stretch>
                  </pic:blipFill>
                  <pic:spPr bwMode="auto">
                    <a:xfrm>
                      <a:off x="0" y="0"/>
                      <a:ext cx="5334000" cy="4267200"/>
                    </a:xfrm>
                    <a:prstGeom prst="rect">
                      <a:avLst/>
                    </a:prstGeom>
                    <a:noFill/>
                    <a:ln w="9525">
                      <a:noFill/>
                      <a:headEnd/>
                      <a:tailEnd/>
                    </a:ln>
                  </pic:spPr>
                </pic:pic>
              </a:graphicData>
            </a:graphic>
          </wp:inline>
        </w:drawing>
      </w:r>
    </w:p>
    <w:bookmarkEnd w:id="205"/>
    <w:bookmarkStart w:id="215" w:name="profitability-ratios-over-time"/>
    <w:p>
      <w:pPr>
        <w:pStyle w:val="Heading3"/>
      </w:pPr>
      <w:r>
        <w:t xml:space="preserve">8.5.4 Profitability Ratios Over Time</w:t>
      </w:r>
    </w:p>
    <w:p>
      <w:pPr>
        <w:pStyle w:val="FirstParagraph"/>
      </w:pPr>
      <w:r>
        <w:drawing>
          <wp:inline>
            <wp:extent cx="5334000" cy="4267200"/>
            <wp:effectExtent b="0" l="0" r="0" t="0"/>
            <wp:docPr descr="" title="" id="207" name="Picture"/>
            <a:graphic>
              <a:graphicData uri="http://schemas.openxmlformats.org/drawingml/2006/picture">
                <pic:pic>
                  <pic:nvPicPr>
                    <pic:cNvPr descr="comparative_financial_analysis_files/figure-docx/plot-profitability-ratios-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0" name="Picture"/>
            <a:graphic>
              <a:graphicData uri="http://schemas.openxmlformats.org/drawingml/2006/picture">
                <pic:pic>
                  <pic:nvPicPr>
                    <pic:cNvPr descr="comparative_financial_analysis_files/figure-docx/plot-profitability-ratios-2.png" id="211" name="Picture"/>
                    <pic:cNvPicPr>
                      <a:picLocks noChangeArrowheads="1" noChangeAspect="1"/>
                    </pic:cNvPicPr>
                  </pic:nvPicPr>
                  <pic:blipFill>
                    <a:blip r:embed="rId20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3" name="Picture"/>
            <a:graphic>
              <a:graphicData uri="http://schemas.openxmlformats.org/drawingml/2006/picture">
                <pic:pic>
                  <pic:nvPicPr>
                    <pic:cNvPr descr="comparative_financial_analysis_files/figure-docx/plot-profitability-ratios-3.png" id="214" name="Picture"/>
                    <pic:cNvPicPr>
                      <a:picLocks noChangeArrowheads="1" noChangeAspect="1"/>
                    </pic:cNvPicPr>
                  </pic:nvPicPr>
                  <pic:blipFill>
                    <a:blip r:embed="rId212"/>
                    <a:stretch>
                      <a:fillRect/>
                    </a:stretch>
                  </pic:blipFill>
                  <pic:spPr bwMode="auto">
                    <a:xfrm>
                      <a:off x="0" y="0"/>
                      <a:ext cx="5334000" cy="4267200"/>
                    </a:xfrm>
                    <a:prstGeom prst="rect">
                      <a:avLst/>
                    </a:prstGeom>
                    <a:noFill/>
                    <a:ln w="9525">
                      <a:noFill/>
                      <a:headEnd/>
                      <a:tailEnd/>
                    </a:ln>
                  </pic:spPr>
                </pic:pic>
              </a:graphicData>
            </a:graphic>
          </wp:inline>
        </w:drawing>
      </w:r>
    </w:p>
    <w:bookmarkEnd w:id="215"/>
    <w:bookmarkEnd w:id="216"/>
    <w:bookmarkStart w:id="226" w:name="common-size-analysis---income-statement"/>
    <w:p>
      <w:pPr>
        <w:pStyle w:val="Heading2"/>
      </w:pPr>
      <w:r>
        <w:t xml:space="preserve">8.6 Common Size Analysis - Income Statement</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18" name="Picture"/>
            <a:graphic>
              <a:graphicData uri="http://schemas.openxmlformats.org/drawingml/2006/picture">
                <pic:pic>
                  <pic:nvPicPr>
                    <pic:cNvPr descr="comparative_financial_analysis_files/figure-docx/plot-net-income-ratio-1.png" id="219" name="Picture"/>
                    <pic:cNvPicPr>
                      <a:picLocks noChangeArrowheads="1" noChangeAspect="1"/>
                    </pic:cNvPicPr>
                  </pic:nvPicPr>
                  <pic:blipFill>
                    <a:blip r:embed="rId2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21" name="Picture"/>
            <a:graphic>
              <a:graphicData uri="http://schemas.openxmlformats.org/drawingml/2006/picture">
                <pic:pic>
                  <pic:nvPicPr>
                    <pic:cNvPr descr="comparative_financial_analysis_files/figure-docx/plot-expense-composition-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24" name="Picture"/>
            <a:graphic>
              <a:graphicData uri="http://schemas.openxmlformats.org/drawingml/2006/picture">
                <pic:pic>
                  <pic:nvPicPr>
                    <pic:cNvPr descr="comparative_financial_analysis_files/figure-docx/plot-margin-comparison_gross-operating-net-1.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26"/>
    <w:bookmarkStart w:id="233" w:name="common-size-analysis---balance-sheet"/>
    <w:p>
      <w:pPr>
        <w:pStyle w:val="Heading2"/>
      </w:pPr>
      <w:r>
        <w:t xml:space="preserve">8.7 Common Size Analysis - Balance Sheet</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28" name="Picture"/>
            <a:graphic>
              <a:graphicData uri="http://schemas.openxmlformats.org/drawingml/2006/picture">
                <pic:pic>
                  <pic:nvPicPr>
                    <pic:cNvPr descr="comparative_financial_analysis_files/figure-docx/plot-capital-structure-liabilities-equity-cash-1.png" id="229" name="Picture"/>
                    <pic:cNvPicPr>
                      <a:picLocks noChangeArrowheads="1" noChangeAspect="1"/>
                    </pic:cNvPicPr>
                  </pic:nvPicPr>
                  <pic:blipFill>
                    <a:blip r:embed="rId22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31" name="Picture"/>
            <a:graphic>
              <a:graphicData uri="http://schemas.openxmlformats.org/drawingml/2006/picture">
                <pic:pic>
                  <pic:nvPicPr>
                    <pic:cNvPr descr="comparative_financial_analysis_files/figure-docx/plot-asset-composition-1.png" id="232" name="Picture"/>
                    <pic:cNvPicPr>
                      <a:picLocks noChangeArrowheads="1" noChangeAspect="1"/>
                    </pic:cNvPicPr>
                  </pic:nvPicPr>
                  <pic:blipFill>
                    <a:blip r:embed="rId23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33"/>
    <w:bookmarkStart w:id="243" w:name="X41caad5e855f50f19dc48bc3ecf3bbf5b5bf153"/>
    <w:p>
      <w:pPr>
        <w:pStyle w:val="Heading2"/>
      </w:pPr>
      <w:r>
        <w:t xml:space="preserve">8.8 Common Size Analysis - Cash Flow Statement</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35" name="Picture"/>
            <a:graphic>
              <a:graphicData uri="http://schemas.openxmlformats.org/drawingml/2006/picture">
                <pic:pic>
                  <pic:nvPicPr>
                    <pic:cNvPr descr="comparative_financial_analysis_files/figure-docx/plot-cash-flow-quality-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38" name="Picture"/>
            <a:graphic>
              <a:graphicData uri="http://schemas.openxmlformats.org/drawingml/2006/picture">
                <pic:pic>
                  <pic:nvPicPr>
                    <pic:cNvPr descr="comparative_financial_analysis_files/figure-docx/plot-cash-flow-composition-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41" name="Picture"/>
            <a:graphic>
              <a:graphicData uri="http://schemas.openxmlformats.org/drawingml/2006/picture">
                <pic:pic>
                  <pic:nvPicPr>
                    <pic:cNvPr descr="comparative_financial_analysis_files/figure-docx/plot-free-cash-flow-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43"/>
    <w:bookmarkStart w:id="247" w:name="net-income-ratio-by-year-and-airline"/>
    <w:p>
      <w:pPr>
        <w:pStyle w:val="Heading2"/>
      </w:pPr>
      <w:r>
        <w:t xml:space="preserve">8.9 Net Income Ratio by year and airline</w:t>
      </w:r>
    </w:p>
    <w:p>
      <w:pPr>
        <w:pStyle w:val="CaptionedFigure"/>
      </w:pPr>
      <w:r>
        <w:drawing>
          <wp:inline>
            <wp:extent cx="5334000" cy="4267200"/>
            <wp:effectExtent b="0" l="0" r="0" t="0"/>
            <wp:docPr descr="Net Income Ratio by Year and Airline (2019 - 2024)" title="" id="245" name="Picture"/>
            <a:graphic>
              <a:graphicData uri="http://schemas.openxmlformats.org/drawingml/2006/picture">
                <pic:pic>
                  <pic:nvPicPr>
                    <pic:cNvPr descr="comparative_financial_analysis_files/figure-docx/net-income-ratio-by-year-and-airline-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47"/>
    <w:bookmarkEnd w:id="2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244" Target="media/rId244.png" /><Relationship Type="http://schemas.openxmlformats.org/officeDocument/2006/relationships/image" Id="rId230" Target="media/rId230.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227" Target="media/rId227.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20" Target="media/rId220.png" /><Relationship Type="http://schemas.openxmlformats.org/officeDocument/2006/relationships/image" Id="rId240" Target="media/rId240.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64" Target="media/rId164.png" /><Relationship Type="http://schemas.openxmlformats.org/officeDocument/2006/relationships/image" Id="rId223" Target="media/rId223.png" /><Relationship Type="http://schemas.openxmlformats.org/officeDocument/2006/relationships/image" Id="rId217" Target="media/rId217.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31" Target="media/rId131.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26" Target="media/rId126.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hyperlink" Id="rId25"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24" Target="https://financialmodelingprep.com/developer/docs/" TargetMode="External" /><Relationship Type="http://schemas.openxmlformats.org/officeDocument/2006/relationships/hyperlink" Id="rId27" Target="https://www.tidy-finance.org/r/financial-statement-analysis.html" TargetMode="External" /><Relationship Type="http://schemas.openxmlformats.org/officeDocument/2006/relationships/hyperlink" Id="rId26" Target="https://www.tidyverse.org/" TargetMode="External" /></Relationships>
</file>

<file path=word/_rels/footnotes.xml.rels><?xml version="1.0" encoding="UTF-8"?><Relationships xmlns="http://schemas.openxmlformats.org/package/2006/relationships"><Relationship Type="http://schemas.openxmlformats.org/officeDocument/2006/relationships/hyperlink" Id="rId25"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24" Target="https://financialmodelingprep.com/developer/docs/" TargetMode="External" /><Relationship Type="http://schemas.openxmlformats.org/officeDocument/2006/relationships/hyperlink" Id="rId27" Target="https://www.tidy-finance.org/r/financial-statement-analysis.html" TargetMode="External" /><Relationship Type="http://schemas.openxmlformats.org/officeDocument/2006/relationships/hyperlink" Id="rId26" Target="https://www.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Robert, Noberto, Riccardo &amp; Ronak</dc:creator>
  <dc:description>A comprehensive financial analysis of the US airline sector, exploring key metrics and trends.</dc:description>
  <cp:keywords/>
  <dcterms:created xsi:type="dcterms:W3CDTF">2025-10-22T03:32:32Z</dcterms:created>
  <dcterms:modified xsi:type="dcterms:W3CDTF">2025-10-22T03:32:32Z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