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Risk Table</w:t>
      </w:r>
    </w:p>
    <w:p>
      <w:pPr>
        <w:pStyle w:val="Normal.0"/>
      </w:pPr>
    </w:p>
    <w:tbl>
      <w:tblPr>
        <w:tblW w:w="110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50"/>
        <w:gridCol w:w="1620"/>
        <w:gridCol w:w="1260"/>
        <w:gridCol w:w="1440"/>
        <w:gridCol w:w="2700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Risk Summary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Category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Probability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Impact(1-4)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RMMM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Technology will not Meet Expectations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TE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25%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1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Interaction will be held with users on routine basis.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 xml:space="preserve">End Users Resist System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BU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rtl w:val="0"/>
                <w:lang w:val="en-US"/>
              </w:rPr>
              <w:t>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Desktop</w:t>
            </w: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 xml:space="preserve"> app will be developed with keeping user in mind.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 xml:space="preserve">Changes in Requirements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PS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Interaction will be held with users on routine basis.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 xml:space="preserve">Lack of Development Experience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TI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60</w:t>
            </w:r>
            <w:r>
              <w:rPr>
                <w:rFonts w:ascii="Times New Roman" w:hAnsi="Times New Roman"/>
                <w:rtl w:val="0"/>
                <w:lang w:val="en-US"/>
              </w:rPr>
              <w:t>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Development team will require learning more languages and technologies.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 xml:space="preserve">Lack of Database Stability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TI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70%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Developers who are handling database should keep mind about the error that may occur due to poor programming or error checking.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 xml:space="preserve">Poor Quality Documentation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BU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49%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Person doing documentation will keep contact with every developer in the team.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Deviation from Software Engineering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263238"/>
                <w:u w:color="263238"/>
                <w:lang w:val="en-US"/>
              </w:rPr>
              <w:br w:type="textWrapping"/>
            </w: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Standards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PI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Making sure that every team members have full understanding of software process and how we plan to implement our system.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Poor comments in code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TI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20%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4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color w:val="263238"/>
                <w:u w:color="263238"/>
                <w:rtl w:val="0"/>
                <w:lang w:val="en-US"/>
              </w:rPr>
              <w:t>This can be minimized if commenting standards are better expressed.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