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20"/>
        <w:jc w:val="center"/>
      </w:pPr>
      <w:r>
        <w:rPr>
          <w:rFonts w:ascii="맑은 고딕" w:hAnsi="맑은 고딕" w:eastAsia="맑은 고딕"/>
          <w:b/>
          <w:sz w:val="36"/>
        </w:rPr>
        <w:t>2025년도 예비창업패키지 사업계획서</w:t>
      </w:r>
    </w:p>
    <w:p>
      <w:pPr>
        <w:spacing w:before="0" w:after="80"/>
        <w:jc w:val="center"/>
      </w:pPr>
      <w:r>
        <w:rPr>
          <w:rFonts w:ascii="맑은 고딕" w:hAnsi="맑은 고딕" w:eastAsia="맑은 고딕"/>
          <w:b/>
          <w:sz w:val="28"/>
        </w:rPr>
        <w:t>창업 아이템명: Shortify (숏티파이)</w:t>
      </w:r>
    </w:p>
    <w:p>
      <w:pPr>
        <w:spacing w:before="0" w:after="400"/>
        <w:jc w:val="center"/>
      </w:pPr>
      <w:r>
        <w:rPr>
          <w:rFonts w:ascii="맑은 고딕" w:hAnsi="맑은 고딕" w:eastAsia="맑은 고딕"/>
          <w:b w:val="0"/>
          <w:sz w:val="22"/>
        </w:rPr>
        <w:t>B2B 커머스 Zero-Click AI 숏폼 자동화 매개 포털</w:t>
      </w:r>
    </w:p>
    <w:p>
      <w:pPr>
        <w:spacing w:before="240" w:after="80"/>
      </w:pPr>
      <w:r>
        <w:rPr>
          <w:rFonts w:ascii="맑은 고딕" w:hAnsi="맑은 고딕" w:eastAsia="맑은 고딕"/>
          <w:b/>
          <w:color w:val="1F497D"/>
          <w:sz w:val="28"/>
        </w:rPr>
        <w:t>□ 일반현황</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D6E4F0" w:color="auto" w:val="clear"/>
          </w:tcPr>
          <w:p>
            <w:r>
              <w:rPr>
                <w:rFonts w:ascii="맑은 고딕" w:hAnsi="맑은 고딕" w:eastAsia="맑은 고딕"/>
                <w:b/>
                <w:sz w:val="18"/>
              </w:rPr>
              <w:t>항목</w:t>
            </w:r>
          </w:p>
        </w:tc>
        <w:tc>
          <w:tcPr>
            <w:tcW w:type="dxa" w:w="2351"/>
            <w:shd w:fill="D6E4F0" w:color="auto" w:val="clear"/>
          </w:tcPr>
          <w:p>
            <w:r>
              <w:rPr>
                <w:rFonts w:ascii="맑은 고딕" w:hAnsi="맑은 고딕" w:eastAsia="맑은 고딕"/>
                <w:b/>
                <w:sz w:val="18"/>
              </w:rPr>
              <w:t>내용</w:t>
            </w:r>
          </w:p>
        </w:tc>
        <w:tc>
          <w:tcPr>
            <w:tcW w:type="dxa" w:w="2351"/>
            <w:shd w:fill="D6E4F0" w:color="auto" w:val="clear"/>
          </w:tcPr>
          <w:p>
            <w:r>
              <w:rPr>
                <w:rFonts w:ascii="맑은 고딕" w:hAnsi="맑은 고딕" w:eastAsia="맑은 고딕"/>
                <w:b/>
                <w:sz w:val="18"/>
              </w:rPr>
              <w:t>항목</w:t>
            </w:r>
          </w:p>
        </w:tc>
        <w:tc>
          <w:tcPr>
            <w:tcW w:type="dxa" w:w="2351"/>
            <w:shd w:fill="D6E4F0" w:color="auto" w:val="clear"/>
          </w:tcPr>
          <w:p>
            <w:r>
              <w:rPr>
                <w:rFonts w:ascii="맑은 고딕" w:hAnsi="맑은 고딕" w:eastAsia="맑은 고딕"/>
                <w:b/>
                <w:sz w:val="18"/>
              </w:rPr>
              <w:t>내용</w:t>
            </w:r>
          </w:p>
        </w:tc>
      </w:tr>
      <w:tr>
        <w:tc>
          <w:tcPr>
            <w:tcW w:type="dxa" w:w="2351"/>
          </w:tcPr>
          <w:p>
            <w:r>
              <w:rPr>
                <w:rFonts w:ascii="맑은 고딕" w:hAnsi="맑은 고딕" w:eastAsia="맑은 고딕"/>
                <w:sz w:val="18"/>
              </w:rPr>
              <w:t>창업아이템명</w:t>
            </w:r>
          </w:p>
        </w:tc>
        <w:tc>
          <w:tcPr>
            <w:tcW w:type="dxa" w:w="2351"/>
          </w:tcPr>
          <w:p>
            <w:r>
              <w:rPr>
                <w:rFonts w:ascii="맑은 고딕" w:hAnsi="맑은 고딕" w:eastAsia="맑은 고딕"/>
                <w:sz w:val="18"/>
              </w:rPr>
              <w:t>Shortify (숏티파이)</w:t>
            </w:r>
          </w:p>
        </w:tc>
        <w:tc>
          <w:tcPr>
            <w:tcW w:type="dxa" w:w="2351"/>
          </w:tcPr>
          <w:p>
            <w:r>
              <w:rPr>
                <w:rFonts w:ascii="맑은 고딕" w:hAnsi="맑은 고딕" w:eastAsia="맑은 고딕"/>
                <w:sz w:val="18"/>
              </w:rPr>
              <w:t>산업분야</w:t>
            </w:r>
          </w:p>
        </w:tc>
        <w:tc>
          <w:tcPr>
            <w:tcW w:type="dxa" w:w="2351"/>
          </w:tcPr>
          <w:p>
            <w:r>
              <w:rPr>
                <w:rFonts w:ascii="맑은 고딕" w:hAnsi="맑은 고딕" w:eastAsia="맑은 고딕"/>
                <w:sz w:val="18"/>
              </w:rPr>
              <w:t>AI·SaaS·B2B 마케팅</w:t>
            </w:r>
          </w:p>
        </w:tc>
      </w:tr>
      <w:tr>
        <w:tc>
          <w:tcPr>
            <w:tcW w:type="dxa" w:w="2351"/>
          </w:tcPr>
          <w:p>
            <w:r>
              <w:rPr>
                <w:rFonts w:ascii="맑은 고딕" w:hAnsi="맑은 고딕" w:eastAsia="맑은 고딕"/>
                <w:sz w:val="18"/>
              </w:rPr>
              <w:t>아이템 개요</w:t>
            </w:r>
          </w:p>
        </w:tc>
        <w:tc>
          <w:tcPr>
            <w:tcW w:type="dxa" w:w="2351"/>
          </w:tcPr>
          <w:p>
            <w:r>
              <w:rPr>
                <w:rFonts w:ascii="맑은 고딕" w:hAnsi="맑은 고딕" w:eastAsia="맑은 고딕"/>
                <w:sz w:val="18"/>
              </w:rPr>
              <w:t>B2B 커머스 Zero-Click AI 숏폼 자동화 매개 포털</w:t>
            </w:r>
          </w:p>
        </w:tc>
        <w:tc>
          <w:tcPr>
            <w:tcW w:type="dxa" w:w="2351"/>
          </w:tcPr>
          <w:p>
            <w:r>
              <w:rPr>
                <w:rFonts w:ascii="맑은 고딕" w:hAnsi="맑은 고딕" w:eastAsia="맑은 고딕"/>
                <w:sz w:val="18"/>
              </w:rPr>
              <w:t>창업 예정일</w:t>
            </w:r>
          </w:p>
        </w:tc>
        <w:tc>
          <w:tcPr>
            <w:tcW w:type="dxa" w:w="2351"/>
          </w:tcPr>
          <w:p>
            <w:r>
              <w:rPr>
                <w:rFonts w:ascii="맑은 고딕" w:hAnsi="맑은 고딕" w:eastAsia="맑은 고딕"/>
                <w:sz w:val="18"/>
              </w:rPr>
              <w:t>2025년 상반기</w:t>
            </w:r>
          </w:p>
        </w:tc>
      </w:tr>
      <w:tr>
        <w:tc>
          <w:tcPr>
            <w:tcW w:type="dxa" w:w="2351"/>
          </w:tcPr>
          <w:p>
            <w:r>
              <w:rPr>
                <w:rFonts w:ascii="맑은 고딕" w:hAnsi="맑은 고딕" w:eastAsia="맑은 고딕"/>
                <w:sz w:val="18"/>
              </w:rPr>
              <w:t>대표자 성명</w:t>
            </w:r>
          </w:p>
        </w:tc>
        <w:tc>
          <w:tcPr>
            <w:tcW w:type="dxa" w:w="2351"/>
          </w:tcPr>
          <w:p>
            <w:r>
              <w:rPr>
                <w:rFonts w:ascii="맑은 고딕" w:hAnsi="맑은 고딕" w:eastAsia="맑은 고딕"/>
                <w:sz w:val="18"/>
              </w:rPr>
              <w:t>OOO</w:t>
            </w:r>
          </w:p>
        </w:tc>
        <w:tc>
          <w:tcPr>
            <w:tcW w:type="dxa" w:w="2351"/>
          </w:tcPr>
          <w:p>
            <w:r>
              <w:rPr>
                <w:rFonts w:ascii="맑은 고딕" w:hAnsi="맑은 고딕" w:eastAsia="맑은 고딕"/>
                <w:sz w:val="18"/>
              </w:rPr>
              <w:t>연락처</w:t>
            </w:r>
          </w:p>
        </w:tc>
        <w:tc>
          <w:tcPr>
            <w:tcW w:type="dxa" w:w="2351"/>
          </w:tcPr>
          <w:p>
            <w:r>
              <w:rPr>
                <w:rFonts w:ascii="맑은 고딕" w:hAnsi="맑은 고딕" w:eastAsia="맑은 고딕"/>
                <w:sz w:val="18"/>
              </w:rPr>
              <w:t>010-XXXX-XXXX</w:t>
            </w:r>
          </w:p>
        </w:tc>
      </w:tr>
      <w:tr>
        <w:tc>
          <w:tcPr>
            <w:tcW w:type="dxa" w:w="2351"/>
          </w:tcPr>
          <w:p>
            <w:r>
              <w:rPr>
                <w:rFonts w:ascii="맑은 고딕" w:hAnsi="맑은 고딕" w:eastAsia="맑은 고딕"/>
                <w:sz w:val="18"/>
              </w:rPr>
              <w:t>핵심 기술</w:t>
            </w:r>
          </w:p>
        </w:tc>
        <w:tc>
          <w:tcPr>
            <w:tcW w:type="dxa" w:w="2351"/>
          </w:tcPr>
          <w:p>
            <w:r>
              <w:rPr>
                <w:rFonts w:ascii="맑은 고딕" w:hAnsi="맑은 고딕" w:eastAsia="맑은 고딕"/>
                <w:sz w:val="18"/>
              </w:rPr>
              <w:t>LangGraph 멀티 AI 에이전트, Vision AI Brand Safety Engine</w:t>
            </w:r>
          </w:p>
        </w:tc>
        <w:tc>
          <w:tcPr>
            <w:tcW w:type="dxa" w:w="2351"/>
          </w:tcPr>
          <w:p>
            <w:r>
              <w:rPr>
                <w:rFonts w:ascii="맑은 고딕" w:hAnsi="맑은 고딕" w:eastAsia="맑은 고딕"/>
                <w:sz w:val="18"/>
              </w:rPr>
              <w:t>목표 시장</w:t>
            </w:r>
          </w:p>
        </w:tc>
        <w:tc>
          <w:tcPr>
            <w:tcW w:type="dxa" w:w="2351"/>
          </w:tcPr>
          <w:p>
            <w:r>
              <w:rPr>
                <w:rFonts w:ascii="맑은 고딕" w:hAnsi="맑은 고딕" w:eastAsia="맑은 고딕"/>
                <w:sz w:val="18"/>
              </w:rPr>
              <w:t>B2B 마케팅 대행사·D2C 이커머스</w:t>
            </w:r>
          </w:p>
        </w:tc>
      </w:tr>
    </w:tbl>
    <w:p>
      <w:pPr>
        <w:spacing w:after="40"/>
      </w:pPr>
    </w:p>
    <w:p>
      <w:pPr>
        <w:spacing w:before="120" w:after="40"/>
      </w:pPr>
      <w:r>
        <w:rPr>
          <w:rFonts w:ascii="맑은 고딕" w:hAnsi="맑은 고딕" w:eastAsia="맑은 고딕"/>
          <w:b/>
          <w:sz w:val="20"/>
        </w:rPr>
        <w:t>[ 팀 구성 현황 (대표자 본인 제외) ]</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fill="D6E4F0" w:color="auto" w:val="clear"/>
          </w:tcPr>
          <w:p>
            <w:r>
              <w:rPr>
                <w:rFonts w:ascii="맑은 고딕" w:hAnsi="맑은 고딕" w:eastAsia="맑은 고딕"/>
                <w:b/>
                <w:sz w:val="18"/>
              </w:rPr>
              <w:t>구분</w:t>
            </w:r>
          </w:p>
        </w:tc>
        <w:tc>
          <w:tcPr>
            <w:tcW w:type="dxa" w:w="1881"/>
            <w:shd w:fill="D6E4F0" w:color="auto" w:val="clear"/>
          </w:tcPr>
          <w:p>
            <w:r>
              <w:rPr>
                <w:rFonts w:ascii="맑은 고딕" w:hAnsi="맑은 고딕" w:eastAsia="맑은 고딕"/>
                <w:b/>
                <w:sz w:val="18"/>
              </w:rPr>
              <w:t>직위/역할</w:t>
            </w:r>
          </w:p>
        </w:tc>
        <w:tc>
          <w:tcPr>
            <w:tcW w:type="dxa" w:w="1881"/>
            <w:shd w:fill="D6E4F0" w:color="auto" w:val="clear"/>
          </w:tcPr>
          <w:p>
            <w:r>
              <w:rPr>
                <w:rFonts w:ascii="맑은 고딕" w:hAnsi="맑은 고딕" w:eastAsia="맑은 고딕"/>
                <w:b/>
                <w:sz w:val="18"/>
              </w:rPr>
              <w:t>담당 업무</w:t>
            </w:r>
          </w:p>
        </w:tc>
        <w:tc>
          <w:tcPr>
            <w:tcW w:type="dxa" w:w="1881"/>
            <w:shd w:fill="D6E4F0" w:color="auto" w:val="clear"/>
          </w:tcPr>
          <w:p>
            <w:r>
              <w:rPr>
                <w:rFonts w:ascii="맑은 고딕" w:hAnsi="맑은 고딕" w:eastAsia="맑은 고딕"/>
                <w:b/>
                <w:sz w:val="18"/>
              </w:rPr>
              <w:t>보유 역량</w:t>
            </w:r>
          </w:p>
        </w:tc>
        <w:tc>
          <w:tcPr>
            <w:tcW w:type="dxa" w:w="1881"/>
            <w:shd w:fill="D6E4F0" w:color="auto" w:val="clear"/>
          </w:tcPr>
          <w:p>
            <w:r>
              <w:rPr>
                <w:rFonts w:ascii="맑은 고딕" w:hAnsi="맑은 고딕" w:eastAsia="맑은 고딕"/>
                <w:b/>
                <w:sz w:val="18"/>
              </w:rPr>
              <w:t>합류 시기</w:t>
            </w:r>
          </w:p>
        </w:tc>
      </w:tr>
      <w:tr>
        <w:tc>
          <w:tcPr>
            <w:tcW w:type="dxa" w:w="1881"/>
          </w:tcPr>
          <w:p>
            <w:r>
              <w:rPr>
                <w:rFonts w:ascii="맑은 고딕" w:hAnsi="맑은 고딕" w:eastAsia="맑은 고딕"/>
                <w:sz w:val="18"/>
              </w:rPr>
              <w:t>1</w:t>
            </w:r>
          </w:p>
        </w:tc>
        <w:tc>
          <w:tcPr>
            <w:tcW w:type="dxa" w:w="1881"/>
          </w:tcPr>
          <w:p>
            <w:r>
              <w:rPr>
                <w:rFonts w:ascii="맑은 고딕" w:hAnsi="맑은 고딕" w:eastAsia="맑은 고딕"/>
                <w:sz w:val="18"/>
              </w:rPr>
              <w:t>AWS 아키텍트 (이사급)</w:t>
            </w:r>
          </w:p>
        </w:tc>
        <w:tc>
          <w:tcPr>
            <w:tcW w:type="dxa" w:w="1881"/>
          </w:tcPr>
          <w:p>
            <w:r>
              <w:rPr>
                <w:rFonts w:ascii="맑은 고딕" w:hAnsi="맑은 고딕" w:eastAsia="맑은 고딕"/>
                <w:sz w:val="18"/>
              </w:rPr>
              <w:t>서버·인프라 총괄</w:t>
            </w:r>
          </w:p>
        </w:tc>
        <w:tc>
          <w:tcPr>
            <w:tcW w:type="dxa" w:w="1881"/>
          </w:tcPr>
          <w:p>
            <w:r>
              <w:rPr>
                <w:rFonts w:ascii="맑은 고딕" w:hAnsi="맑은 고딕" w:eastAsia="맑은 고딕"/>
                <w:sz w:val="18"/>
              </w:rPr>
              <w:t>AWS Solutions Architect, 클라우드 10년+</w:t>
            </w:r>
          </w:p>
        </w:tc>
        <w:tc>
          <w:tcPr>
            <w:tcW w:type="dxa" w:w="1881"/>
          </w:tcPr>
          <w:p>
            <w:r>
              <w:rPr>
                <w:rFonts w:ascii="맑은 고딕" w:hAnsi="맑은 고딕" w:eastAsia="맑은 고딕"/>
                <w:sz w:val="18"/>
              </w:rPr>
              <w:t>런칭 시 (예정)</w:t>
            </w:r>
          </w:p>
        </w:tc>
      </w:tr>
      <w:tr>
        <w:tc>
          <w:tcPr>
            <w:tcW w:type="dxa" w:w="1881"/>
          </w:tcPr>
          <w:p>
            <w:r>
              <w:rPr>
                <w:rFonts w:ascii="맑은 고딕" w:hAnsi="맑은 고딕" w:eastAsia="맑은 고딕"/>
                <w:sz w:val="18"/>
              </w:rPr>
              <w:t>2</w:t>
            </w:r>
          </w:p>
        </w:tc>
        <w:tc>
          <w:tcPr>
            <w:tcW w:type="dxa" w:w="1881"/>
          </w:tcPr>
          <w:p>
            <w:r>
              <w:rPr>
                <w:rFonts w:ascii="맑은 고딕" w:hAnsi="맑은 고딕" w:eastAsia="맑은 고딕"/>
                <w:sz w:val="18"/>
              </w:rPr>
              <w:t>B2B 오퍼레이터</w:t>
            </w:r>
          </w:p>
        </w:tc>
        <w:tc>
          <w:tcPr>
            <w:tcW w:type="dxa" w:w="1881"/>
          </w:tcPr>
          <w:p>
            <w:r>
              <w:rPr>
                <w:rFonts w:ascii="맑은 고딕" w:hAnsi="맑은 고딕" w:eastAsia="맑은 고딕"/>
                <w:sz w:val="18"/>
              </w:rPr>
              <w:t>고객 온보딩·CS</w:t>
            </w:r>
          </w:p>
        </w:tc>
        <w:tc>
          <w:tcPr>
            <w:tcW w:type="dxa" w:w="1881"/>
          </w:tcPr>
          <w:p>
            <w:r>
              <w:rPr>
                <w:rFonts w:ascii="맑은 고딕" w:hAnsi="맑은 고딕" w:eastAsia="맑은 고딕"/>
                <w:sz w:val="18"/>
              </w:rPr>
              <w:t>B2B 영업·마케팅 경력 5년+</w:t>
            </w:r>
          </w:p>
        </w:tc>
        <w:tc>
          <w:tcPr>
            <w:tcW w:type="dxa" w:w="1881"/>
          </w:tcPr>
          <w:p>
            <w:r>
              <w:rPr>
                <w:rFonts w:ascii="맑은 고딕" w:hAnsi="맑은 고딕" w:eastAsia="맑은 고딕"/>
                <w:sz w:val="18"/>
              </w:rPr>
              <w:t>런칭 시 (예정)</w:t>
            </w:r>
          </w:p>
        </w:tc>
      </w:tr>
    </w:tbl>
    <w:p>
      <w:pPr>
        <w:spacing w:after="40"/>
      </w:pPr>
    </w:p>
    <w:p>
      <w:pPr>
        <w:spacing w:before="240" w:after="80"/>
      </w:pPr>
      <w:r>
        <w:rPr>
          <w:rFonts w:ascii="맑은 고딕" w:hAnsi="맑은 고딕" w:eastAsia="맑은 고딕"/>
          <w:b/>
          <w:color w:val="1F497D"/>
          <w:sz w:val="28"/>
        </w:rPr>
        <w:t>□ 창업 아이템 개요(요약)</w:t>
      </w:r>
    </w:p>
    <w:tbl>
      <w:tblPr>
        <w:tblStyle w:val="TableGrid"/>
        <w:tblW w:type="auto" w:w="0"/>
        <w:tblLook w:firstColumn="1" w:firstRow="1" w:lastColumn="0" w:lastRow="0" w:noHBand="0" w:noVBand="1" w:val="04A0"/>
      </w:tblPr>
      <w:tblGrid>
        <w:gridCol w:w="4703"/>
        <w:gridCol w:w="4703"/>
      </w:tblGrid>
      <w:tr>
        <w:tc>
          <w:tcPr>
            <w:tcW w:type="dxa" w:w="4703"/>
            <w:shd w:fill="D6E4F0" w:color="auto" w:val="clear"/>
          </w:tcPr>
          <w:p>
            <w:r>
              <w:rPr>
                <w:rFonts w:ascii="맑은 고딕" w:hAnsi="맑은 고딕" w:eastAsia="맑은 고딕"/>
                <w:b/>
                <w:sz w:val="18"/>
              </w:rPr>
              <w:t>항목</w:t>
            </w:r>
          </w:p>
        </w:tc>
        <w:tc>
          <w:tcPr>
            <w:tcW w:type="dxa" w:w="4703"/>
            <w:shd w:fill="D6E4F0" w:color="auto" w:val="clear"/>
          </w:tcPr>
          <w:p>
            <w:r>
              <w:rPr>
                <w:rFonts w:ascii="맑은 고딕" w:hAnsi="맑은 고딕" w:eastAsia="맑은 고딕"/>
                <w:b/>
                <w:sz w:val="18"/>
              </w:rPr>
              <w:t>내용</w:t>
            </w:r>
          </w:p>
        </w:tc>
      </w:tr>
      <w:tr>
        <w:tc>
          <w:tcPr>
            <w:tcW w:type="dxa" w:w="4703"/>
          </w:tcPr>
          <w:p>
            <w:r>
              <w:rPr>
                <w:rFonts w:ascii="맑은 고딕" w:hAnsi="맑은 고딕" w:eastAsia="맑은 고딕"/>
                <w:sz w:val="18"/>
              </w:rPr>
              <w:t>아이템명</w:t>
            </w:r>
          </w:p>
        </w:tc>
        <w:tc>
          <w:tcPr>
            <w:tcW w:type="dxa" w:w="4703"/>
          </w:tcPr>
          <w:p>
            <w:r>
              <w:rPr>
                <w:rFonts w:ascii="맑은 고딕" w:hAnsi="맑은 고딕" w:eastAsia="맑은 고딕"/>
                <w:sz w:val="18"/>
              </w:rPr>
              <w:t>Shortify (숏티파이)</w:t>
            </w:r>
          </w:p>
        </w:tc>
      </w:tr>
      <w:tr>
        <w:tc>
          <w:tcPr>
            <w:tcW w:type="dxa" w:w="4703"/>
          </w:tcPr>
          <w:p>
            <w:r>
              <w:rPr>
                <w:rFonts w:ascii="맑은 고딕" w:hAnsi="맑은 고딕" w:eastAsia="맑은 고딕"/>
                <w:sz w:val="18"/>
              </w:rPr>
              <w:t>아이템 개요</w:t>
            </w:r>
          </w:p>
        </w:tc>
        <w:tc>
          <w:tcPr>
            <w:tcW w:type="dxa" w:w="4703"/>
          </w:tcPr>
          <w:p>
            <w:r>
              <w:rPr>
                <w:rFonts w:ascii="맑은 고딕" w:hAnsi="맑은 고딕" w:eastAsia="맑은 고딕"/>
                <w:sz w:val="18"/>
              </w:rPr>
              <w:t>고객사 쇼핑몰/ERP API에 직결, 신상품 데이터를 자동 수집 → AI 멀티 에이전트가 완전 자동으로 숏폼 영상 제작·배포하는 B2B 전용 AX(AI Transformation) 인프라</w:t>
            </w:r>
          </w:p>
        </w:tc>
      </w:tr>
      <w:tr>
        <w:tc>
          <w:tcPr>
            <w:tcW w:type="dxa" w:w="4703"/>
          </w:tcPr>
          <w:p>
            <w:r>
              <w:rPr>
                <w:rFonts w:ascii="맑은 고딕" w:hAnsi="맑은 고딕" w:eastAsia="맑은 고딕"/>
                <w:sz w:val="18"/>
              </w:rPr>
              <w:t>문제 인식(Problem)</w:t>
            </w:r>
          </w:p>
        </w:tc>
        <w:tc>
          <w:tcPr>
            <w:tcW w:type="dxa" w:w="4703"/>
          </w:tcPr>
          <w:p>
            <w:r>
              <w:rPr>
                <w:rFonts w:ascii="맑은 고딕" w:hAnsi="맑은 고딕" w:eastAsia="맑은 고딕"/>
                <w:sz w:val="18"/>
              </w:rPr>
              <w:t>① B2B 숏폼 수요 폭발 vs. 파편화 구조로 인한 마진 붕괴(건당 30만원/72시간)</w:t>
              <w:br/>
              <w:t>② 범용 AI툴의 Brand Safety 미보장 → B2B 실무 도입 불가</w:t>
            </w:r>
          </w:p>
        </w:tc>
      </w:tr>
      <w:tr>
        <w:tc>
          <w:tcPr>
            <w:tcW w:type="dxa" w:w="4703"/>
          </w:tcPr>
          <w:p>
            <w:r>
              <w:rPr>
                <w:rFonts w:ascii="맑은 고딕" w:hAnsi="맑은 고딕" w:eastAsia="맑은 고딕"/>
                <w:sz w:val="18"/>
              </w:rPr>
              <w:t>실현 가능성(Solution)</w:t>
            </w:r>
          </w:p>
        </w:tc>
        <w:tc>
          <w:tcPr>
            <w:tcW w:type="dxa" w:w="4703"/>
          </w:tcPr>
          <w:p>
            <w:r>
              <w:rPr>
                <w:rFonts w:ascii="맑은 고딕" w:hAnsi="맑은 고딕" w:eastAsia="맑은 고딕"/>
                <w:sz w:val="18"/>
              </w:rPr>
              <w:t>① Zero-Click 멀티 AI 에이전트 파이프라인(LangGraph 기반, 6개 에이전트)</w:t>
              <w:br/>
              <w:t>② Vision AI 자가 검증 Brand Safety Engine + 무중단 Fallback 오케스트레이션</w:t>
            </w:r>
          </w:p>
        </w:tc>
      </w:tr>
      <w:tr>
        <w:tc>
          <w:tcPr>
            <w:tcW w:type="dxa" w:w="4703"/>
          </w:tcPr>
          <w:p>
            <w:r>
              <w:rPr>
                <w:rFonts w:ascii="맑은 고딕" w:hAnsi="맑은 고딕" w:eastAsia="맑은 고딕"/>
                <w:sz w:val="18"/>
              </w:rPr>
              <w:t>성장전략(Scale-up)</w:t>
            </w:r>
          </w:p>
        </w:tc>
        <w:tc>
          <w:tcPr>
            <w:tcW w:type="dxa" w:w="4703"/>
          </w:tcPr>
          <w:p>
            <w:r>
              <w:rPr>
                <w:rFonts w:ascii="맑은 고딕" w:hAnsi="맑은 고딕" w:eastAsia="맑은 고딕"/>
                <w:sz w:val="18"/>
              </w:rPr>
              <w:t>① Niche to Mass 전략: 중소형 마케팅 대행사 → 화이트라벨 레버리지</w:t>
              <w:br/>
              <w:t>② 투트랙 수익(API 셋업비 + 렌더링 종량제) + AI 플라이휠 Lock-in 구조</w:t>
            </w:r>
          </w:p>
        </w:tc>
      </w:tr>
      <w:tr>
        <w:tc>
          <w:tcPr>
            <w:tcW w:type="dxa" w:w="4703"/>
          </w:tcPr>
          <w:p>
            <w:r>
              <w:rPr>
                <w:rFonts w:ascii="맑은 고딕" w:hAnsi="맑은 고딕" w:eastAsia="맑은 고딕"/>
                <w:sz w:val="18"/>
              </w:rPr>
              <w:t>팀 구성(Team)</w:t>
            </w:r>
          </w:p>
        </w:tc>
        <w:tc>
          <w:tcPr>
            <w:tcW w:type="dxa" w:w="4703"/>
          </w:tcPr>
          <w:p>
            <w:r>
              <w:rPr>
                <w:rFonts w:ascii="맑은 고딕" w:hAnsi="맑은 고딕" w:eastAsia="맑은 고딕"/>
                <w:sz w:val="18"/>
              </w:rPr>
              <w:t>대표: B2B 커머스 마케팅 디렉터 + LangGraph 아키텍처 독자 구현·AI 코딩 실행력</w:t>
              <w:br/>
              <w:t>(예정) AWS 아키텍트 + B2B 오퍼레이터</w:t>
            </w:r>
          </w:p>
        </w:tc>
      </w:tr>
    </w:tbl>
    <w:p>
      <w:pPr>
        <w:spacing w:after="40"/>
      </w:pPr>
    </w:p>
    <w:p>
      <w:pPr>
        <w:spacing w:before="240" w:after="80"/>
      </w:pPr>
      <w:r>
        <w:rPr>
          <w:rFonts w:ascii="맑은 고딕" w:hAnsi="맑은 고딕" w:eastAsia="맑은 고딕"/>
          <w:b/>
          <w:color w:val="1F497D"/>
          <w:sz w:val="26"/>
        </w:rPr>
        <w:t>1. 문제 인식 (Problem) — 창업 아이템의 필요성</w:t>
      </w:r>
    </w:p>
    <w:p>
      <w:pPr>
        <w:spacing w:before="160" w:after="80"/>
      </w:pPr>
      <w:r>
        <w:rPr>
          <w:rFonts w:ascii="맑은 고딕" w:hAnsi="맑은 고딕" w:eastAsia="맑은 고딕"/>
          <w:b/>
          <w:sz w:val="22"/>
        </w:rPr>
        <w:t>ㅇ 창업 아이템의 국내·외 시장 현황 및 문제점</w:t>
      </w:r>
    </w:p>
    <w:p>
      <w:pPr>
        <w:spacing w:before="80" w:after="80"/>
      </w:pPr>
      <w:r>
        <w:rPr>
          <w:rFonts w:ascii="맑은 고딕" w:hAnsi="맑은 고딕" w:eastAsia="맑은 고딕"/>
          <w:b/>
          <w:sz w:val="20"/>
        </w:rPr>
        <w:t>1) 폭발하는 B2B 숏폼 수요와 인적 소통 기반 구조의 "치명적 마진 붕괴"</w:t>
      </w:r>
    </w:p>
    <w:p>
      <w:pPr>
        <w:spacing w:before="0" w:after="80"/>
      </w:pPr>
      <w:r>
        <w:rPr>
          <w:rFonts w:ascii="맑은 고딕" w:hAnsi="맑은 고딕" w:eastAsia="맑은 고딕"/>
          <w:b w:val="0"/>
          <w:sz w:val="20"/>
        </w:rPr>
        <w:t>숏폼은 이커머스의 생존 필수재입니다. 그러나 현재의 "기획자↔대행사↔제작사" 파편화 구조는 잦은 소통 오류를 발생시킵니다. 이는 "건당 30만 원, 최소 72시간 소요"라는 구조적 마진 붕괴를 유발하며, B2B 기업의 마케팅 효율을 근본적으로 저해합니다. 수요는 폭발적으로 증가하는데, 공급 인프라는 여전히 인간의 반복 노동에 종속된 것이 핵심 문제입니다.</w:t>
      </w:r>
    </w:p>
    <w:p>
      <w:pPr>
        <w:spacing w:before="80" w:after="80"/>
      </w:pPr>
      <w:r>
        <w:rPr>
          <w:rFonts w:ascii="맑은 고딕" w:hAnsi="맑은 고딕" w:eastAsia="맑은 고딕"/>
          <w:b/>
          <w:sz w:val="20"/>
        </w:rPr>
        <w:t>2) 기존 범용 AI 툴(SaaS)의 "B2B 실무 도입 불가"라는 근본적 한계</w:t>
      </w:r>
    </w:p>
    <w:p>
      <w:pPr>
        <w:spacing w:before="0" w:after="80"/>
      </w:pPr>
      <w:r>
        <w:rPr>
          <w:rFonts w:ascii="맑은 고딕" w:hAnsi="맑은 고딕" w:eastAsia="맑은 고딕"/>
          <w:b w:val="0"/>
          <w:sz w:val="20"/>
        </w:rPr>
        <w:t>시중의 범용 AI 비디오 생성기(H사, S사 등)는 브랜드 세이프티(Brand Safety)를 보장하지 못합니다. 기업 고유의 지정 컬러나 금지어(경쟁사 명칭 등)를 프롬프트 레벨에서 시스템적으로 강제할 수 없어, B2B 실무 담당자가 실제로 결재를 받아 사용하는 것이 불가능합니다. 이는 단순한 기능 부재가 아닌, "B2B 시장 진입 불가"라는 구조적 공백을 의미합니다.</w:t>
      </w:r>
    </w:p>
    <w:p>
      <w:pPr>
        <w:spacing w:before="160" w:after="80"/>
      </w:pPr>
      <w:r>
        <w:rPr>
          <w:rFonts w:ascii="맑은 고딕" w:hAnsi="맑은 고딕" w:eastAsia="맑은 고딕"/>
          <w:b/>
          <w:sz w:val="22"/>
        </w:rPr>
        <w:t>ㅇ 문제 해결을 위한 창업 아이템의 개발 필요성</w:t>
      </w:r>
    </w:p>
    <w:p>
      <w:pPr>
        <w:spacing w:before="80" w:after="80"/>
      </w:pPr>
      <w:r>
        <w:rPr>
          <w:rFonts w:ascii="맑은 고딕" w:hAnsi="맑은 고딕" w:eastAsia="맑은 고딕"/>
          <w:b/>
          <w:sz w:val="20"/>
        </w:rPr>
        <w:t>1) 단순 SaaS 툴을 넘어선 "B2B 커머스 매개 인프라(AX)"로의 대전환</w:t>
      </w:r>
    </w:p>
    <w:p>
      <w:pPr>
        <w:spacing w:before="0" w:after="80"/>
      </w:pPr>
      <w:r>
        <w:rPr>
          <w:rFonts w:ascii="맑은 고딕" w:hAnsi="맑은 고딕" w:eastAsia="맑은 고딕"/>
          <w:b w:val="0"/>
          <w:sz w:val="20"/>
        </w:rPr>
        <w:t>마케터가 매번 키보드로 명령어를 치는 방식이 아닙니다. 고객사 쇼핑몰 DB(API)에 직접 플러그인되어, 신상품 데이터 수집부터 렌더링·배포까지 완전 자동화하는 Zero-Click 인프라가 필수적입니다. Shortify는 이 공백을 메우는 국내 유일의 B2B 전용 AX(AI Transformation) 매개 포털입니다.</w:t>
      </w:r>
    </w:p>
    <w:p>
      <w:pPr>
        <w:spacing w:before="80" w:after="80"/>
      </w:pPr>
      <w:r>
        <w:rPr>
          <w:rFonts w:ascii="맑은 고딕" w:hAnsi="맑은 고딕" w:eastAsia="맑은 고딕"/>
          <w:b/>
          <w:sz w:val="20"/>
        </w:rPr>
        <w:t>2) [국가적 명분] K-마케팅 데이터 주권 수호 및 생산 수단 민주화</w:t>
      </w:r>
    </w:p>
    <w:p>
      <w:pPr>
        <w:spacing w:before="0" w:after="80"/>
      </w:pPr>
      <w:r>
        <w:rPr>
          <w:rFonts w:ascii="맑은 고딕" w:hAnsi="맑은 고딕" w:eastAsia="맑은 고딕"/>
          <w:b w:val="0"/>
          <w:sz w:val="20"/>
        </w:rPr>
        <w:t>해외 AI 툴에 무분별하게 의존할 경우 국내 기업의 핵심 마케팅 데이터가 해외 서버로 유출됩니다. Shortify는 이를 방어하는 안전한 국산 AX 방파제입니다. 또한 거대 자본 없는 소상공인(SME)도 글로벌 수준의 숏폼 마케팅 인프라를 동등하게 누릴 수 있도록 생산 수단을 민주화하는 국가적 명분을 동시에 실현합니다.</w:t>
      </w:r>
    </w:p>
    <w:p>
      <w:pPr>
        <w:spacing w:before="80" w:after="40"/>
        <w:jc w:val="center"/>
      </w:pPr>
      <w:r>
        <w:drawing>
          <wp:inline xmlns:a="http://schemas.openxmlformats.org/drawingml/2006/main" xmlns:pic="http://schemas.openxmlformats.org/drawingml/2006/picture">
            <wp:extent cx="5040000" cy="2835000"/>
            <wp:docPr id="1" name="Picture 1"/>
            <wp:cNvGraphicFramePr>
              <a:graphicFrameLocks noChangeAspect="1"/>
            </wp:cNvGraphicFramePr>
            <a:graphic>
              <a:graphicData uri="http://schemas.openxmlformats.org/drawingml/2006/picture">
                <pic:pic>
                  <pic:nvPicPr>
                    <pic:cNvPr id="0" name="01_ParadigmShift.png"/>
                    <pic:cNvPicPr/>
                  </pic:nvPicPr>
                  <pic:blipFill>
                    <a:blip r:embed="rId9"/>
                    <a:stretch>
                      <a:fillRect/>
                    </a:stretch>
                  </pic:blipFill>
                  <pic:spPr>
                    <a:xfrm>
                      <a:off x="0" y="0"/>
                      <a:ext cx="5040000" cy="2835000"/>
                    </a:xfrm>
                    <a:prstGeom prst="rect"/>
                  </pic:spPr>
                </pic:pic>
              </a:graphicData>
            </a:graphic>
          </wp:inline>
        </w:drawing>
      </w:r>
    </w:p>
    <w:p>
      <w:pPr>
        <w:spacing w:before="0" w:after="160"/>
        <w:jc w:val="center"/>
      </w:pPr>
      <w:r>
        <w:rPr>
          <w:rFonts w:ascii="맑은 고딕" w:hAnsi="맑은 고딕" w:eastAsia="맑은 고딕"/>
          <w:i/>
          <w:color w:val="595959"/>
          <w:sz w:val="17"/>
        </w:rPr>
        <w:t>▲ [그림 1] 단순 SaaS 툴의 한계를 종식시키는 B2B 커머스 데이터 매개 인프라(AX) 패러다임 전환</w:t>
      </w:r>
    </w:p>
    <w:p>
      <w:pPr>
        <w:spacing w:before="80" w:after="40"/>
        <w:jc w:val="center"/>
      </w:pPr>
      <w:r>
        <w:drawing>
          <wp:inline xmlns:a="http://schemas.openxmlformats.org/drawingml/2006/main" xmlns:pic="http://schemas.openxmlformats.org/drawingml/2006/picture">
            <wp:extent cx="4680000" cy="2632500"/>
            <wp:docPr id="2" name="Picture 2"/>
            <wp:cNvGraphicFramePr>
              <a:graphicFrameLocks noChangeAspect="1"/>
            </wp:cNvGraphicFramePr>
            <a:graphic>
              <a:graphicData uri="http://schemas.openxmlformats.org/drawingml/2006/picture">
                <pic:pic>
                  <pic:nvPicPr>
                    <pic:cNvPr id="0" name="Shortify_Ver2_RevenuePoC.png"/>
                    <pic:cNvPicPr/>
                  </pic:nvPicPr>
                  <pic:blipFill>
                    <a:blip r:embed="rId10"/>
                    <a:stretch>
                      <a:fillRect/>
                    </a:stretch>
                  </pic:blipFill>
                  <pic:spPr>
                    <a:xfrm>
                      <a:off x="0" y="0"/>
                      <a:ext cx="4680000" cy="2632500"/>
                    </a:xfrm>
                    <a:prstGeom prst="rect"/>
                  </pic:spPr>
                </pic:pic>
              </a:graphicData>
            </a:graphic>
          </wp:inline>
        </w:drawing>
      </w:r>
    </w:p>
    <w:p>
      <w:pPr>
        <w:spacing w:before="0" w:after="160"/>
        <w:jc w:val="center"/>
      </w:pPr>
      <w:r>
        <w:rPr>
          <w:rFonts w:ascii="맑은 고딕" w:hAnsi="맑은 고딕" w:eastAsia="맑은 고딕"/>
          <w:i/>
          <w:color w:val="595959"/>
          <w:sz w:val="17"/>
        </w:rPr>
        <w:t>▲ [그림 2] MVP Revenue PoC — 초기 파트너 대행사 10곳 기반 BEP 조기 달성 시나리오</w:t>
      </w:r>
    </w:p>
    <w:p>
      <w:pPr>
        <w:spacing w:before="240" w:after="80"/>
      </w:pPr>
      <w:r>
        <w:rPr>
          <w:rFonts w:ascii="맑은 고딕" w:hAnsi="맑은 고딕" w:eastAsia="맑은 고딕"/>
          <w:b/>
          <w:color w:val="1F497D"/>
          <w:sz w:val="26"/>
        </w:rPr>
        <w:t>2. 실현 가능성 (Solution) — 창업 아이템의 개발 계획</w:t>
      </w:r>
    </w:p>
    <w:p>
      <w:pPr>
        <w:spacing w:before="160" w:after="80"/>
      </w:pPr>
      <w:r>
        <w:rPr>
          <w:rFonts w:ascii="맑은 고딕" w:hAnsi="맑은 고딕" w:eastAsia="맑은 고딕"/>
          <w:b/>
          <w:sz w:val="22"/>
        </w:rPr>
        <w:t>ㅇ 아이디어를 제품·서비스로 개발 또는 구체화하고자 하는 계획</w:t>
      </w:r>
    </w:p>
    <w:p>
      <w:pPr>
        <w:spacing w:before="80" w:after="80"/>
      </w:pPr>
      <w:r>
        <w:rPr>
          <w:rFonts w:ascii="맑은 고딕" w:hAnsi="맑은 고딕" w:eastAsia="맑은 고딕"/>
          <w:b/>
          <w:sz w:val="20"/>
        </w:rPr>
        <w:t>1) Zero-Click 기반 멀티 AI 에이전트 매개 파이프라인 구축</w:t>
      </w:r>
    </w:p>
    <w:p>
      <w:pPr>
        <w:spacing w:before="0" w:after="80"/>
      </w:pPr>
      <w:r>
        <w:rPr>
          <w:rFonts w:ascii="맑은 고딕" w:hAnsi="맑은 고딕" w:eastAsia="맑은 고딕"/>
          <w:b w:val="0"/>
          <w:sz w:val="20"/>
        </w:rPr>
        <w:t>고객사 ERP/쇼핑몰 API와 직결되어 신상품 등록 즉시 데이터를 자동 수집합니다. LangGraph 프레임워크 기반의 6개 전문 에이전트(스크립트·비주얼·보이스·뮤직·에디팅·퍼블리싱)가 순차/병렬로 협업하여, 인간의 개입 없이 완성된 숏폼 영상을 소셜 미디어에 자동 배포합니다. 마케터가 직접 조작해야 하는 행위를 0(Zero)으로 줄이는 것이 핵심 설계 철학입니다.</w:t>
      </w:r>
    </w:p>
    <w:p>
      <w:pPr>
        <w:spacing w:before="80" w:after="40"/>
        <w:jc w:val="center"/>
      </w:pPr>
      <w:r>
        <w:drawing>
          <wp:inline xmlns:a="http://schemas.openxmlformats.org/drawingml/2006/main" xmlns:pic="http://schemas.openxmlformats.org/drawingml/2006/picture">
            <wp:extent cx="5040000" cy="2835000"/>
            <wp:docPr id="3" name="Picture 3"/>
            <wp:cNvGraphicFramePr>
              <a:graphicFrameLocks noChangeAspect="1"/>
            </wp:cNvGraphicFramePr>
            <a:graphic>
              <a:graphicData uri="http://schemas.openxmlformats.org/drawingml/2006/picture">
                <pic:pic>
                  <pic:nvPicPr>
                    <pic:cNvPr id="0" name="02_ZeroClickInfra.png"/>
                    <pic:cNvPicPr/>
                  </pic:nvPicPr>
                  <pic:blipFill>
                    <a:blip r:embed="rId11"/>
                    <a:stretch>
                      <a:fillRect/>
                    </a:stretch>
                  </pic:blipFill>
                  <pic:spPr>
                    <a:xfrm>
                      <a:off x="0" y="0"/>
                      <a:ext cx="5040000" cy="2835000"/>
                    </a:xfrm>
                    <a:prstGeom prst="rect"/>
                  </pic:spPr>
                </pic:pic>
              </a:graphicData>
            </a:graphic>
          </wp:inline>
        </w:drawing>
      </w:r>
    </w:p>
    <w:p>
      <w:pPr>
        <w:spacing w:before="0" w:after="160"/>
        <w:jc w:val="center"/>
      </w:pPr>
      <w:r>
        <w:rPr>
          <w:rFonts w:ascii="맑은 고딕" w:hAnsi="맑은 고딕" w:eastAsia="맑은 고딕"/>
          <w:i/>
          <w:color w:val="595959"/>
          <w:sz w:val="17"/>
        </w:rPr>
        <w:t>▲ [그림 3] 인간의 개입을 100% 삭제한 쇼핑몰 DB 직결 Zero-Click 매개 엔진 아키텍처</w:t>
      </w:r>
    </w:p>
    <w:p>
      <w:pPr>
        <w:spacing w:before="160" w:after="80"/>
      </w:pPr>
      <w:r>
        <w:rPr>
          <w:rFonts w:ascii="맑은 고딕" w:hAnsi="맑은 고딕" w:eastAsia="맑은 고딕"/>
          <w:b/>
          <w:sz w:val="22"/>
        </w:rPr>
        <w:t>ㅇ 창업 아이템의 차별성 및 경쟁력 확보 전략</w:t>
      </w:r>
    </w:p>
    <w:p>
      <w:pPr>
        <w:spacing w:before="80" w:after="80"/>
      </w:pPr>
      <w:r>
        <w:rPr>
          <w:rFonts w:ascii="맑은 고딕" w:hAnsi="맑은 고딕" w:eastAsia="맑은 고딕"/>
          <w:b/>
          <w:sz w:val="20"/>
        </w:rPr>
        <w:t>1) 초격차 딥테크(Deep-tech) 해자: Vision AI 자가 검증 (Brand Safety Engine)</w:t>
      </w:r>
    </w:p>
    <w:p>
      <w:pPr>
        <w:spacing w:before="0" w:after="80"/>
      </w:pPr>
      <w:r>
        <w:rPr>
          <w:rFonts w:ascii="맑은 고딕" w:hAnsi="맑은 고딕" w:eastAsia="맑은 고딕"/>
          <w:b w:val="0"/>
          <w:sz w:val="20"/>
        </w:rPr>
        <w:t>단순 API 래퍼(Wrapper)가 아닙니다. 기업의 브랜드 가이드라인을 벡터 DB화하여, 모든 생성 과정의 프롬프트에 동적 강제 주입(Dynamic Injection)합니다. 특히 출력 전 단계에서 Vision AI 기반의 검증 에이전트가 픽셀 단위로 환각(Hallucination) 및 오류를 교차 검수합니다. 위반 요소 발견 시 인간 개입 없이 AI 스스로 프롬프트를 재수정하는 자가 리파인먼트(Self-Refinement) 루프가 돌아갑니다.</w:t>
      </w:r>
    </w:p>
    <w:p>
      <w:pPr>
        <w:spacing w:before="80" w:after="80"/>
      </w:pPr>
      <w:r>
        <w:rPr>
          <w:rFonts w:ascii="맑은 고딕" w:hAnsi="맑은 고딕" w:eastAsia="맑은 고딕"/>
          <w:b/>
          <w:sz w:val="20"/>
        </w:rPr>
        <w:t>2) 무중단 Fallback 오케스트레이션</w:t>
      </w:r>
    </w:p>
    <w:p>
      <w:pPr>
        <w:spacing w:before="0" w:after="80"/>
      </w:pPr>
      <w:r>
        <w:rPr>
          <w:rFonts w:ascii="맑은 고딕" w:hAnsi="맑은 고딕" w:eastAsia="맑은 고딕"/>
          <w:b w:val="0"/>
          <w:sz w:val="20"/>
        </w:rPr>
        <w:t>글로벌 AI 벤더(OpenAI 등) 서버 장애 시, 지연 시간 없이 대안 모델(Claude, Stable Diffusion 등)로 자동 라우팅되는 백업 시스템을 구축합니다. 이를 통해 엔터프라이즈급 99.9% SLA를 보장하여, 기업 고객의 신뢰를 확보하는 진입 장벽을 형성합니다.</w:t>
      </w:r>
    </w:p>
    <w:p>
      <w:pPr>
        <w:spacing w:before="80" w:after="40"/>
        <w:jc w:val="center"/>
      </w:pPr>
      <w:r>
        <w:drawing>
          <wp:inline xmlns:a="http://schemas.openxmlformats.org/drawingml/2006/main" xmlns:pic="http://schemas.openxmlformats.org/drawingml/2006/picture">
            <wp:extent cx="4680000" cy="2632500"/>
            <wp:docPr id="4" name="Picture 4"/>
            <wp:cNvGraphicFramePr>
              <a:graphicFrameLocks noChangeAspect="1"/>
            </wp:cNvGraphicFramePr>
            <a:graphic>
              <a:graphicData uri="http://schemas.openxmlformats.org/drawingml/2006/picture">
                <pic:pic>
                  <pic:nvPicPr>
                    <pic:cNvPr id="0" name="Shortify_Ver2_TechMoat.png"/>
                    <pic:cNvPicPr/>
                  </pic:nvPicPr>
                  <pic:blipFill>
                    <a:blip r:embed="rId12"/>
                    <a:stretch>
                      <a:fillRect/>
                    </a:stretch>
                  </pic:blipFill>
                  <pic:spPr>
                    <a:xfrm>
                      <a:off x="0" y="0"/>
                      <a:ext cx="4680000" cy="2632500"/>
                    </a:xfrm>
                    <a:prstGeom prst="rect"/>
                  </pic:spPr>
                </pic:pic>
              </a:graphicData>
            </a:graphic>
          </wp:inline>
        </w:drawing>
      </w:r>
    </w:p>
    <w:p>
      <w:pPr>
        <w:spacing w:before="0" w:after="160"/>
        <w:jc w:val="center"/>
      </w:pPr>
      <w:r>
        <w:rPr>
          <w:rFonts w:ascii="맑은 고딕" w:hAnsi="맑은 고딕" w:eastAsia="맑은 고딕"/>
          <w:i/>
          <w:color w:val="595959"/>
          <w:sz w:val="17"/>
        </w:rPr>
        <w:t>▲ [그림 4] 범용 AI 툴과의 초격차를 만드는 Brand Safety Engine + Fallback 기술 해자</w:t>
      </w:r>
    </w:p>
    <w:p>
      <w:pPr>
        <w:spacing w:before="160" w:after="80"/>
      </w:pPr>
      <w:r>
        <w:rPr>
          <w:rFonts w:ascii="맑은 고딕" w:hAnsi="맑은 고딕" w:eastAsia="맑은 고딕"/>
          <w:b/>
          <w:sz w:val="22"/>
        </w:rPr>
        <w:t>[ 사업추진 일정 (협약기간 내) ]</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D6E4F0" w:val="clear"/>
          </w:tcPr>
          <w:p>
            <w:r>
              <w:rPr>
                <w:rFonts w:ascii="맑은 고딕" w:hAnsi="맑은 고딕" w:eastAsia="맑은 고딕"/>
                <w:b/>
                <w:sz w:val="18"/>
              </w:rPr>
              <w:t>구분</w:t>
            </w:r>
          </w:p>
        </w:tc>
        <w:tc>
          <w:tcPr>
            <w:tcW w:type="dxa" w:w="2351"/>
            <w:shd w:fill="D6E4F0" w:val="clear"/>
          </w:tcPr>
          <w:p>
            <w:r>
              <w:rPr>
                <w:rFonts w:ascii="맑은 고딕" w:hAnsi="맑은 고딕" w:eastAsia="맑은 고딕"/>
                <w:b/>
                <w:sz w:val="18"/>
              </w:rPr>
              <w:t>추진 내용</w:t>
            </w:r>
          </w:p>
        </w:tc>
        <w:tc>
          <w:tcPr>
            <w:tcW w:type="dxa" w:w="2351"/>
            <w:shd w:fill="D6E4F0" w:val="clear"/>
          </w:tcPr>
          <w:p>
            <w:r>
              <w:rPr>
                <w:rFonts w:ascii="맑은 고딕" w:hAnsi="맑은 고딕" w:eastAsia="맑은 고딕"/>
                <w:b/>
                <w:sz w:val="18"/>
              </w:rPr>
              <w:t>추진 기간</w:t>
            </w:r>
          </w:p>
        </w:tc>
        <w:tc>
          <w:tcPr>
            <w:tcW w:type="dxa" w:w="2351"/>
            <w:shd w:fill="D6E4F0" w:val="clear"/>
          </w:tcPr>
          <w:p>
            <w:r>
              <w:rPr>
                <w:rFonts w:ascii="맑은 고딕" w:hAnsi="맑은 고딕" w:eastAsia="맑은 고딕"/>
                <w:b/>
                <w:sz w:val="18"/>
              </w:rPr>
              <w:t>세부 내용</w:t>
            </w:r>
          </w:p>
        </w:tc>
      </w:tr>
      <w:tr>
        <w:tc>
          <w:tcPr>
            <w:tcW w:type="dxa" w:w="2351"/>
          </w:tcPr>
          <w:p>
            <w:r>
              <w:rPr>
                <w:rFonts w:ascii="맑은 고딕" w:hAnsi="맑은 고딕" w:eastAsia="맑은 고딕"/>
                <w:sz w:val="18"/>
              </w:rPr>
              <w:t>1</w:t>
            </w:r>
          </w:p>
        </w:tc>
        <w:tc>
          <w:tcPr>
            <w:tcW w:type="dxa" w:w="2351"/>
          </w:tcPr>
          <w:p>
            <w:r>
              <w:rPr>
                <w:rFonts w:ascii="맑은 고딕" w:hAnsi="맑은 고딕" w:eastAsia="맑은 고딕"/>
                <w:sz w:val="18"/>
              </w:rPr>
              <w:t>MVP 코어 엔진 고도화</w:t>
            </w:r>
          </w:p>
        </w:tc>
        <w:tc>
          <w:tcPr>
            <w:tcW w:type="dxa" w:w="2351"/>
          </w:tcPr>
          <w:p>
            <w:r>
              <w:rPr>
                <w:rFonts w:ascii="맑은 고딕" w:hAnsi="맑은 고딕" w:eastAsia="맑은 고딕"/>
                <w:sz w:val="18"/>
              </w:rPr>
              <w:t>25.04 ~ 25.06</w:t>
            </w:r>
          </w:p>
        </w:tc>
        <w:tc>
          <w:tcPr>
            <w:tcW w:type="dxa" w:w="2351"/>
          </w:tcPr>
          <w:p>
            <w:r>
              <w:rPr>
                <w:rFonts w:ascii="맑은 고딕" w:hAnsi="맑은 고딕" w:eastAsia="맑은 고딕"/>
                <w:sz w:val="18"/>
              </w:rPr>
              <w:t>LangGraph 6 에이전트 파이프라인 고도화·안정화</w:t>
            </w:r>
          </w:p>
        </w:tc>
      </w:tr>
      <w:tr>
        <w:tc>
          <w:tcPr>
            <w:tcW w:type="dxa" w:w="2351"/>
          </w:tcPr>
          <w:p>
            <w:r>
              <w:rPr>
                <w:rFonts w:ascii="맑은 고딕" w:hAnsi="맑은 고딕" w:eastAsia="맑은 고딕"/>
                <w:sz w:val="18"/>
              </w:rPr>
              <w:t>2</w:t>
            </w:r>
          </w:p>
        </w:tc>
        <w:tc>
          <w:tcPr>
            <w:tcW w:type="dxa" w:w="2351"/>
          </w:tcPr>
          <w:p>
            <w:r>
              <w:rPr>
                <w:rFonts w:ascii="맑은 고딕" w:hAnsi="맑은 고딕" w:eastAsia="맑은 고딕"/>
                <w:sz w:val="18"/>
              </w:rPr>
              <w:t>Brand Safety Engine 개발</w:t>
            </w:r>
          </w:p>
        </w:tc>
        <w:tc>
          <w:tcPr>
            <w:tcW w:type="dxa" w:w="2351"/>
          </w:tcPr>
          <w:p>
            <w:r>
              <w:rPr>
                <w:rFonts w:ascii="맑은 고딕" w:hAnsi="맑은 고딕" w:eastAsia="맑은 고딕"/>
                <w:sz w:val="18"/>
              </w:rPr>
              <w:t>25.05 ~ 25.07</w:t>
            </w:r>
          </w:p>
        </w:tc>
        <w:tc>
          <w:tcPr>
            <w:tcW w:type="dxa" w:w="2351"/>
          </w:tcPr>
          <w:p>
            <w:r>
              <w:rPr>
                <w:rFonts w:ascii="맑은 고딕" w:hAnsi="맑은 고딕" w:eastAsia="맑은 고딕"/>
                <w:sz w:val="18"/>
              </w:rPr>
              <w:t>Vision AI 검증 루프 및 벡터 DB 브랜드 가이드라인 연동</w:t>
            </w:r>
          </w:p>
        </w:tc>
      </w:tr>
      <w:tr>
        <w:tc>
          <w:tcPr>
            <w:tcW w:type="dxa" w:w="2351"/>
          </w:tcPr>
          <w:p>
            <w:r>
              <w:rPr>
                <w:rFonts w:ascii="맑은 고딕" w:hAnsi="맑은 고딕" w:eastAsia="맑은 고딕"/>
                <w:sz w:val="18"/>
              </w:rPr>
              <w:t>3</w:t>
            </w:r>
          </w:p>
        </w:tc>
        <w:tc>
          <w:tcPr>
            <w:tcW w:type="dxa" w:w="2351"/>
          </w:tcPr>
          <w:p>
            <w:r>
              <w:rPr>
                <w:rFonts w:ascii="맑은 고딕" w:hAnsi="맑은 고딕" w:eastAsia="맑은 고딕"/>
                <w:sz w:val="18"/>
              </w:rPr>
              <w:t>Fallback 오케스트레이션 구축</w:t>
            </w:r>
          </w:p>
        </w:tc>
        <w:tc>
          <w:tcPr>
            <w:tcW w:type="dxa" w:w="2351"/>
          </w:tcPr>
          <w:p>
            <w:r>
              <w:rPr>
                <w:rFonts w:ascii="맑은 고딕" w:hAnsi="맑은 고딕" w:eastAsia="맑은 고딕"/>
                <w:sz w:val="18"/>
              </w:rPr>
              <w:t>25.06 ~ 25.07</w:t>
            </w:r>
          </w:p>
        </w:tc>
        <w:tc>
          <w:tcPr>
            <w:tcW w:type="dxa" w:w="2351"/>
          </w:tcPr>
          <w:p>
            <w:r>
              <w:rPr>
                <w:rFonts w:ascii="맑은 고딕" w:hAnsi="맑은 고딕" w:eastAsia="맑은 고딕"/>
                <w:sz w:val="18"/>
              </w:rPr>
              <w:t>Multi-LLM 라우팅 및 99.9% SLA 인프라 구축</w:t>
            </w:r>
          </w:p>
        </w:tc>
      </w:tr>
      <w:tr>
        <w:tc>
          <w:tcPr>
            <w:tcW w:type="dxa" w:w="2351"/>
          </w:tcPr>
          <w:p>
            <w:r>
              <w:rPr>
                <w:rFonts w:ascii="맑은 고딕" w:hAnsi="맑은 고딕" w:eastAsia="맑은 고딕"/>
                <w:sz w:val="18"/>
              </w:rPr>
              <w:t>4</w:t>
            </w:r>
          </w:p>
        </w:tc>
        <w:tc>
          <w:tcPr>
            <w:tcW w:type="dxa" w:w="2351"/>
          </w:tcPr>
          <w:p>
            <w:r>
              <w:rPr>
                <w:rFonts w:ascii="맑은 고딕" w:hAnsi="맑은 고딕" w:eastAsia="맑은 고딕"/>
                <w:sz w:val="18"/>
              </w:rPr>
              <w:t>초기 대행사 파트너 10곳 확보</w:t>
            </w:r>
          </w:p>
        </w:tc>
        <w:tc>
          <w:tcPr>
            <w:tcW w:type="dxa" w:w="2351"/>
          </w:tcPr>
          <w:p>
            <w:r>
              <w:rPr>
                <w:rFonts w:ascii="맑은 고딕" w:hAnsi="맑은 고딕" w:eastAsia="맑은 고딕"/>
                <w:sz w:val="18"/>
              </w:rPr>
              <w:t>25.06 ~ 25.09</w:t>
            </w:r>
          </w:p>
        </w:tc>
        <w:tc>
          <w:tcPr>
            <w:tcW w:type="dxa" w:w="2351"/>
          </w:tcPr>
          <w:p>
            <w:r>
              <w:rPr>
                <w:rFonts w:ascii="맑은 고딕" w:hAnsi="맑은 고딕" w:eastAsia="맑은 고딕"/>
                <w:sz w:val="18"/>
              </w:rPr>
              <w:t>White-label 제공 및 PoC 진행, 영업망 전환</w:t>
            </w:r>
          </w:p>
        </w:tc>
      </w:tr>
      <w:tr>
        <w:tc>
          <w:tcPr>
            <w:tcW w:type="dxa" w:w="2351"/>
          </w:tcPr>
          <w:p>
            <w:r>
              <w:rPr>
                <w:rFonts w:ascii="맑은 고딕" w:hAnsi="맑은 고딕" w:eastAsia="맑은 고딕"/>
                <w:sz w:val="18"/>
              </w:rPr>
              <w:t>5</w:t>
            </w:r>
          </w:p>
        </w:tc>
        <w:tc>
          <w:tcPr>
            <w:tcW w:type="dxa" w:w="2351"/>
          </w:tcPr>
          <w:p>
            <w:r>
              <w:rPr>
                <w:rFonts w:ascii="맑은 고딕" w:hAnsi="맑은 고딕" w:eastAsia="맑은 고딕"/>
                <w:sz w:val="18"/>
              </w:rPr>
              <w:t>월 매출 BEP(1천만원) 달성</w:t>
            </w:r>
          </w:p>
        </w:tc>
        <w:tc>
          <w:tcPr>
            <w:tcW w:type="dxa" w:w="2351"/>
          </w:tcPr>
          <w:p>
            <w:r>
              <w:rPr>
                <w:rFonts w:ascii="맑은 고딕" w:hAnsi="맑은 고딕" w:eastAsia="맑은 고딕"/>
                <w:sz w:val="18"/>
              </w:rPr>
              <w:t>25.09</w:t>
            </w:r>
          </w:p>
        </w:tc>
        <w:tc>
          <w:tcPr>
            <w:tcW w:type="dxa" w:w="2351"/>
          </w:tcPr>
          <w:p>
            <w:r>
              <w:rPr>
                <w:rFonts w:ascii="맑은 고딕" w:hAnsi="맑은 고딕" w:eastAsia="맑은 고딕"/>
                <w:sz w:val="18"/>
              </w:rPr>
              <w:t>API 셋업비 + 렌더링 종량제 과금 실현</w:t>
            </w:r>
          </w:p>
        </w:tc>
      </w:tr>
    </w:tbl>
    <w:p>
      <w:pPr>
        <w:spacing w:after="40"/>
      </w:pPr>
    </w:p>
    <w:p>
      <w:pPr>
        <w:spacing w:before="160" w:after="80"/>
      </w:pPr>
      <w:r>
        <w:rPr>
          <w:rFonts w:ascii="맑은 고딕" w:hAnsi="맑은 고딕" w:eastAsia="맑은 고딕"/>
          <w:b/>
          <w:sz w:val="22"/>
        </w:rPr>
        <w:t>[ 1, 2단계 정부지원사업비 집행계획 요약 (단위: 원) ]</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D6E4F0" w:val="clear"/>
          </w:tcPr>
          <w:p>
            <w:r>
              <w:rPr>
                <w:rFonts w:ascii="맑은 고딕" w:hAnsi="맑은 고딕" w:eastAsia="맑은 고딕"/>
                <w:b/>
                <w:sz w:val="18"/>
              </w:rPr>
              <w:t>비목</w:t>
            </w:r>
          </w:p>
        </w:tc>
        <w:tc>
          <w:tcPr>
            <w:tcW w:type="dxa" w:w="2351"/>
            <w:shd w:fill="D6E4F0" w:val="clear"/>
          </w:tcPr>
          <w:p>
            <w:r>
              <w:rPr>
                <w:rFonts w:ascii="맑은 고딕" w:hAnsi="맑은 고딕" w:eastAsia="맑은 고딕"/>
                <w:b/>
                <w:sz w:val="18"/>
              </w:rPr>
              <w:t>산출 근거</w:t>
            </w:r>
          </w:p>
        </w:tc>
        <w:tc>
          <w:tcPr>
            <w:tcW w:type="dxa" w:w="2351"/>
            <w:shd w:fill="D6E4F0" w:val="clear"/>
          </w:tcPr>
          <w:p>
            <w:r>
              <w:rPr>
                <w:rFonts w:ascii="맑은 고딕" w:hAnsi="맑은 고딕" w:eastAsia="맑은 고딕"/>
                <w:b/>
                <w:sz w:val="18"/>
              </w:rPr>
              <w:t>1단계(원)</w:t>
            </w:r>
          </w:p>
        </w:tc>
        <w:tc>
          <w:tcPr>
            <w:tcW w:type="dxa" w:w="2351"/>
            <w:shd w:fill="D6E4F0" w:val="clear"/>
          </w:tcPr>
          <w:p>
            <w:r>
              <w:rPr>
                <w:rFonts w:ascii="맑은 고딕" w:hAnsi="맑은 고딕" w:eastAsia="맑은 고딕"/>
                <w:b/>
                <w:sz w:val="18"/>
              </w:rPr>
              <w:t>2단계(원)</w:t>
            </w:r>
          </w:p>
        </w:tc>
      </w:tr>
      <w:tr>
        <w:tc>
          <w:tcPr>
            <w:tcW w:type="dxa" w:w="2351"/>
          </w:tcPr>
          <w:p>
            <w:r>
              <w:rPr>
                <w:rFonts w:ascii="맑은 고딕" w:hAnsi="맑은 고딕" w:eastAsia="맑은 고딕"/>
                <w:sz w:val="18"/>
              </w:rPr>
              <w:t>재료비</w:t>
            </w:r>
          </w:p>
        </w:tc>
        <w:tc>
          <w:tcPr>
            <w:tcW w:type="dxa" w:w="2351"/>
          </w:tcPr>
          <w:p>
            <w:r>
              <w:rPr>
                <w:rFonts w:ascii="맑은 고딕" w:hAnsi="맑은 고딕" w:eastAsia="맑은 고딕"/>
                <w:sz w:val="18"/>
              </w:rPr>
              <w:t>클라우드 인프라 구축 비용 (AWS EC2·S3·RDS)</w:t>
            </w:r>
          </w:p>
        </w:tc>
        <w:tc>
          <w:tcPr>
            <w:tcW w:type="dxa" w:w="2351"/>
          </w:tcPr>
          <w:p>
            <w:r>
              <w:rPr>
                <w:rFonts w:ascii="맑은 고딕" w:hAnsi="맑은 고딕" w:eastAsia="맑은 고딕"/>
                <w:sz w:val="18"/>
              </w:rPr>
              <w:t>3,000,000</w:t>
            </w:r>
          </w:p>
        </w:tc>
        <w:tc>
          <w:tcPr>
            <w:tcW w:type="dxa" w:w="2351"/>
          </w:tcPr>
          <w:p>
            <w:r>
              <w:rPr>
                <w:rFonts w:ascii="맑은 고딕" w:hAnsi="맑은 고딕" w:eastAsia="맑은 고딕"/>
                <w:sz w:val="18"/>
              </w:rPr>
              <w:t>5,000,000</w:t>
            </w:r>
          </w:p>
        </w:tc>
      </w:tr>
      <w:tr>
        <w:tc>
          <w:tcPr>
            <w:tcW w:type="dxa" w:w="2351"/>
          </w:tcPr>
          <w:p>
            <w:r>
              <w:rPr>
                <w:rFonts w:ascii="맑은 고딕" w:hAnsi="맑은 고딕" w:eastAsia="맑은 고딕"/>
                <w:sz w:val="18"/>
              </w:rPr>
              <w:t>외주용역비</w:t>
            </w:r>
          </w:p>
        </w:tc>
        <w:tc>
          <w:tcPr>
            <w:tcW w:type="dxa" w:w="2351"/>
          </w:tcPr>
          <w:p>
            <w:r>
              <w:rPr>
                <w:rFonts w:ascii="맑은 고딕" w:hAnsi="맑은 고딕" w:eastAsia="맑은 고딕"/>
                <w:sz w:val="18"/>
              </w:rPr>
              <w:t>UI/UX 디자인 외주 (화이트라벨 대시보드)</w:t>
            </w:r>
          </w:p>
        </w:tc>
        <w:tc>
          <w:tcPr>
            <w:tcW w:type="dxa" w:w="2351"/>
          </w:tcPr>
          <w:p>
            <w:r>
              <w:rPr>
                <w:rFonts w:ascii="맑은 고딕" w:hAnsi="맑은 고딕" w:eastAsia="맑은 고딕"/>
                <w:sz w:val="18"/>
              </w:rPr>
              <w:t>5,000,000</w:t>
            </w:r>
          </w:p>
        </w:tc>
        <w:tc>
          <w:tcPr>
            <w:tcW w:type="dxa" w:w="2351"/>
          </w:tcPr>
          <w:p>
            <w:r>
              <w:rPr>
                <w:rFonts w:ascii="맑은 고딕" w:hAnsi="맑은 고딕" w:eastAsia="맑은 고딕"/>
                <w:sz w:val="18"/>
              </w:rPr>
              <w:t>8,000,000</w:t>
            </w:r>
          </w:p>
        </w:tc>
      </w:tr>
      <w:tr>
        <w:tc>
          <w:tcPr>
            <w:tcW w:type="dxa" w:w="2351"/>
          </w:tcPr>
          <w:p>
            <w:r>
              <w:rPr>
                <w:rFonts w:ascii="맑은 고딕" w:hAnsi="맑은 고딕" w:eastAsia="맑은 고딕"/>
                <w:sz w:val="18"/>
              </w:rPr>
              <w:t>인건비</w:t>
            </w:r>
          </w:p>
        </w:tc>
        <w:tc>
          <w:tcPr>
            <w:tcW w:type="dxa" w:w="2351"/>
          </w:tcPr>
          <w:p>
            <w:r>
              <w:rPr>
                <w:rFonts w:ascii="맑은 고딕" w:hAnsi="맑은 고딕" w:eastAsia="맑은 고딕"/>
                <w:sz w:val="18"/>
              </w:rPr>
              <w:t>파트타임 B2B 오퍼레이터 보조 인력</w:t>
            </w:r>
          </w:p>
        </w:tc>
        <w:tc>
          <w:tcPr>
            <w:tcW w:type="dxa" w:w="2351"/>
          </w:tcPr>
          <w:p>
            <w:r>
              <w:rPr>
                <w:rFonts w:ascii="맑은 고딕" w:hAnsi="맑은 고딕" w:eastAsia="맑은 고딕"/>
                <w:sz w:val="18"/>
              </w:rPr>
              <w:t>4,000,000</w:t>
            </w:r>
          </w:p>
        </w:tc>
        <w:tc>
          <w:tcPr>
            <w:tcW w:type="dxa" w:w="2351"/>
          </w:tcPr>
          <w:p>
            <w:r>
              <w:rPr>
                <w:rFonts w:ascii="맑은 고딕" w:hAnsi="맑은 고딕" w:eastAsia="맑은 고딕"/>
                <w:sz w:val="18"/>
              </w:rPr>
              <w:t>7,000,000</w:t>
            </w:r>
          </w:p>
        </w:tc>
      </w:tr>
      <w:tr>
        <w:tc>
          <w:tcPr>
            <w:tcW w:type="dxa" w:w="2351"/>
          </w:tcPr>
          <w:p>
            <w:r>
              <w:rPr>
                <w:rFonts w:ascii="맑은 고딕" w:hAnsi="맑은 고딕" w:eastAsia="맑은 고딕"/>
                <w:sz w:val="18"/>
              </w:rPr>
              <w:t>기타</w:t>
            </w:r>
          </w:p>
        </w:tc>
        <w:tc>
          <w:tcPr>
            <w:tcW w:type="dxa" w:w="2351"/>
          </w:tcPr>
          <w:p>
            <w:r>
              <w:rPr>
                <w:rFonts w:ascii="맑은 고딕" w:hAnsi="맑은 고딕" w:eastAsia="맑은 고딕"/>
                <w:sz w:val="18"/>
              </w:rPr>
              <w:t>API 사용료(OpenAI, Kling AI 등), 마케팅</w:t>
            </w:r>
          </w:p>
        </w:tc>
        <w:tc>
          <w:tcPr>
            <w:tcW w:type="dxa" w:w="2351"/>
          </w:tcPr>
          <w:p>
            <w:r>
              <w:rPr>
                <w:rFonts w:ascii="맑은 고딕" w:hAnsi="맑은 고딕" w:eastAsia="맑은 고딕"/>
                <w:sz w:val="18"/>
              </w:rPr>
              <w:t>3,000,000</w:t>
            </w:r>
          </w:p>
        </w:tc>
        <w:tc>
          <w:tcPr>
            <w:tcW w:type="dxa" w:w="2351"/>
          </w:tcPr>
          <w:p>
            <w:r>
              <w:rPr>
                <w:rFonts w:ascii="맑은 고딕" w:hAnsi="맑은 고딕" w:eastAsia="맑은 고딕"/>
                <w:sz w:val="18"/>
              </w:rPr>
              <w:t>5,000,000</w:t>
            </w:r>
          </w:p>
        </w:tc>
      </w:tr>
      <w:tr>
        <w:tc>
          <w:tcPr>
            <w:tcW w:type="dxa" w:w="2351"/>
          </w:tcPr>
          <w:p>
            <w:r>
              <w:rPr>
                <w:rFonts w:ascii="맑은 고딕" w:hAnsi="맑은 고딕" w:eastAsia="맑은 고딕"/>
                <w:sz w:val="18"/>
              </w:rPr>
              <w:t>합계</w:t>
            </w:r>
          </w:p>
        </w:tc>
        <w:tc>
          <w:tcPr>
            <w:tcW w:type="dxa" w:w="2351"/>
          </w:tcPr>
          <w:p>
            <w:r>
              <w:rPr>
                <w:rFonts w:ascii="맑은 고딕" w:hAnsi="맑은 고딕" w:eastAsia="맑은 고딕"/>
                <w:sz w:val="18"/>
              </w:rPr>
            </w:r>
          </w:p>
        </w:tc>
        <w:tc>
          <w:tcPr>
            <w:tcW w:type="dxa" w:w="2351"/>
          </w:tcPr>
          <w:p>
            <w:r>
              <w:rPr>
                <w:rFonts w:ascii="맑은 고딕" w:hAnsi="맑은 고딕" w:eastAsia="맑은 고딕"/>
                <w:sz w:val="18"/>
              </w:rPr>
              <w:t>15,000,000</w:t>
            </w:r>
          </w:p>
        </w:tc>
        <w:tc>
          <w:tcPr>
            <w:tcW w:type="dxa" w:w="2351"/>
          </w:tcPr>
          <w:p>
            <w:r>
              <w:rPr>
                <w:rFonts w:ascii="맑은 고딕" w:hAnsi="맑은 고딕" w:eastAsia="맑은 고딕"/>
                <w:sz w:val="18"/>
              </w:rPr>
              <w:t>25,000,000</w:t>
            </w:r>
          </w:p>
        </w:tc>
      </w:tr>
    </w:tbl>
    <w:p>
      <w:pPr>
        <w:spacing w:after="40"/>
      </w:pPr>
    </w:p>
    <w:p>
      <w:pPr>
        <w:spacing w:before="240" w:after="80"/>
      </w:pPr>
      <w:r>
        <w:rPr>
          <w:rFonts w:ascii="맑은 고딕" w:hAnsi="맑은 고딕" w:eastAsia="맑은 고딕"/>
          <w:b/>
          <w:color w:val="1F497D"/>
          <w:sz w:val="26"/>
        </w:rPr>
        <w:t>3. 성장전략 (Scale-up) — 사업화 추진 전략</w:t>
      </w:r>
    </w:p>
    <w:p>
      <w:pPr>
        <w:spacing w:before="160" w:after="80"/>
      </w:pPr>
      <w:r>
        <w:rPr>
          <w:rFonts w:ascii="맑은 고딕" w:hAnsi="맑은 고딕" w:eastAsia="맑은 고딕"/>
          <w:b/>
          <w:sz w:val="22"/>
        </w:rPr>
        <w:t>ㅇ 경쟁제품·경쟁사 분석 및 목표 시장 진입 전략</w:t>
      </w:r>
    </w:p>
    <w:p>
      <w:pPr>
        <w:spacing w:before="80" w:after="80"/>
      </w:pPr>
      <w:r>
        <w:rPr>
          <w:rFonts w:ascii="맑은 고딕" w:hAnsi="맑은 고딕" w:eastAsia="맑은 고딕"/>
          <w:b/>
          <w:sz w:val="20"/>
        </w:rPr>
        <w:t>1) 범용 솔루션 대비 대체 불가능한 경쟁 우위 증명</w:t>
      </w:r>
    </w:p>
    <w:p>
      <w:pPr>
        <w:spacing w:before="0" w:after="80"/>
      </w:pPr>
      <w:r>
        <w:rPr>
          <w:rFonts w:ascii="맑은 고딕" w:hAnsi="맑은 고딕" w:eastAsia="맑은 고딕"/>
          <w:b w:val="0"/>
          <w:sz w:val="20"/>
        </w:rPr>
        <w:t>글로벌 범용 툴들은 영미권·가로형 위주로 K-마케팅 실무에 부적합합니다. Shortify는 K-밈(Meme) 반영, 세로형 숏폼 동적 최적화, 기업 브랜드 통제력 강화라는 철저한 B2B 실무 최적화 인프라로서 독점적 우위를 점합니다.</w:t>
      </w:r>
    </w:p>
    <w:p>
      <w:pPr>
        <w:spacing w:before="80" w:after="40"/>
        <w:jc w:val="center"/>
      </w:pPr>
      <w:r>
        <w:drawing>
          <wp:inline xmlns:a="http://schemas.openxmlformats.org/drawingml/2006/main" xmlns:pic="http://schemas.openxmlformats.org/drawingml/2006/picture">
            <wp:extent cx="5040000" cy="2835000"/>
            <wp:docPr id="5" name="Picture 5"/>
            <wp:cNvGraphicFramePr>
              <a:graphicFrameLocks noChangeAspect="1"/>
            </wp:cNvGraphicFramePr>
            <a:graphic>
              <a:graphicData uri="http://schemas.openxmlformats.org/drawingml/2006/picture">
                <pic:pic>
                  <pic:nvPicPr>
                    <pic:cNvPr id="0" name="03_CompetitiveAdvantage.png"/>
                    <pic:cNvPicPr/>
                  </pic:nvPicPr>
                  <pic:blipFill>
                    <a:blip r:embed="rId13"/>
                    <a:stretch>
                      <a:fillRect/>
                    </a:stretch>
                  </pic:blipFill>
                  <pic:spPr>
                    <a:xfrm>
                      <a:off x="0" y="0"/>
                      <a:ext cx="5040000" cy="2835000"/>
                    </a:xfrm>
                    <a:prstGeom prst="rect"/>
                  </pic:spPr>
                </pic:pic>
              </a:graphicData>
            </a:graphic>
          </wp:inline>
        </w:drawing>
      </w:r>
    </w:p>
    <w:p>
      <w:pPr>
        <w:spacing w:before="0" w:after="160"/>
        <w:jc w:val="center"/>
      </w:pPr>
      <w:r>
        <w:rPr>
          <w:rFonts w:ascii="맑은 고딕" w:hAnsi="맑은 고딕" w:eastAsia="맑은 고딕"/>
          <w:i/>
          <w:color w:val="595959"/>
          <w:sz w:val="17"/>
        </w:rPr>
        <w:t>▲ [그림 5] 범용 AI 툴과 B2B 실무 최적화 Shortify 매개 포털의 경쟁 우위 비교</w:t>
      </w:r>
    </w:p>
    <w:p>
      <w:pPr>
        <w:spacing w:before="80" w:after="80"/>
      </w:pPr>
      <w:r>
        <w:rPr>
          <w:rFonts w:ascii="맑은 고딕" w:hAnsi="맑은 고딕" w:eastAsia="맑은 고딕"/>
          <w:b/>
          <w:sz w:val="20"/>
        </w:rPr>
        <w:t>2) 영리한 린(Lean) 시장 진입 전략: Niche to Mass (대행사 레버리지)</w:t>
      </w:r>
    </w:p>
    <w:p>
      <w:pPr>
        <w:spacing w:before="0" w:after="80"/>
      </w:pPr>
      <w:r>
        <w:rPr>
          <w:rFonts w:ascii="맑은 고딕" w:hAnsi="맑은 고딕" w:eastAsia="맑은 고딕"/>
          <w:b w:val="0"/>
          <w:sz w:val="20"/>
        </w:rPr>
        <w:t>불확실한 대기업 파트너십 과시를 배제하고, 마케팅 리소스 부족으로 가장 고통받는 중소형 마케팅 대행사를 1차 Niche 타깃으로 정밀 공략합니다. 대행사에게 클라이언트별 계정을 관리할 수 있는 화이트라벨(White-label)을 선제적으로 제공하여, 대행사 1곳 유치로 수십 개 D2C 브랜드를 동시 확보하는 강력한 레버리지를 구사합니다.</w:t>
      </w:r>
    </w:p>
    <w:p>
      <w:pPr>
        <w:spacing w:before="80" w:after="40"/>
        <w:jc w:val="center"/>
      </w:pPr>
      <w:r>
        <w:drawing>
          <wp:inline xmlns:a="http://schemas.openxmlformats.org/drawingml/2006/main" xmlns:pic="http://schemas.openxmlformats.org/drawingml/2006/picture">
            <wp:extent cx="5040000" cy="2835000"/>
            <wp:docPr id="6" name="Picture 6"/>
            <wp:cNvGraphicFramePr>
              <a:graphicFrameLocks noChangeAspect="1"/>
            </wp:cNvGraphicFramePr>
            <a:graphic>
              <a:graphicData uri="http://schemas.openxmlformats.org/drawingml/2006/picture">
                <pic:pic>
                  <pic:nvPicPr>
                    <pic:cNvPr id="0" name="04_GoToMarket.png"/>
                    <pic:cNvPicPr/>
                  </pic:nvPicPr>
                  <pic:blipFill>
                    <a:blip r:embed="rId14"/>
                    <a:stretch>
                      <a:fillRect/>
                    </a:stretch>
                  </pic:blipFill>
                  <pic:spPr>
                    <a:xfrm>
                      <a:off x="0" y="0"/>
                      <a:ext cx="5040000" cy="2835000"/>
                    </a:xfrm>
                    <a:prstGeom prst="rect"/>
                  </pic:spPr>
                </pic:pic>
              </a:graphicData>
            </a:graphic>
          </wp:inline>
        </w:drawing>
      </w:r>
    </w:p>
    <w:p>
      <w:pPr>
        <w:spacing w:before="0" w:after="160"/>
        <w:jc w:val="center"/>
      </w:pPr>
      <w:r>
        <w:rPr>
          <w:rFonts w:ascii="맑은 고딕" w:hAnsi="맑은 고딕" w:eastAsia="맑은 고딕"/>
          <w:i/>
          <w:color w:val="595959"/>
          <w:sz w:val="17"/>
        </w:rPr>
        <w:t>▲ [그림 6] 거대한 틈새시장을 선점하는 Niche to Mass 레버리지 전략</w:t>
      </w:r>
    </w:p>
    <w:p>
      <w:pPr>
        <w:spacing w:before="160" w:after="80"/>
      </w:pPr>
      <w:r>
        <w:rPr>
          <w:rFonts w:ascii="맑은 고딕" w:hAnsi="맑은 고딕" w:eastAsia="맑은 고딕"/>
          <w:b/>
          <w:sz w:val="22"/>
        </w:rPr>
        <w:t>ㅇ 창업 아이템의 비즈니스 모델 및 자금확보 전략</w:t>
      </w:r>
    </w:p>
    <w:p>
      <w:pPr>
        <w:spacing w:before="80" w:after="80"/>
      </w:pPr>
      <w:r>
        <w:rPr>
          <w:rFonts w:ascii="맑은 고딕" w:hAnsi="맑은 고딕" w:eastAsia="맑은 고딕"/>
          <w:b/>
          <w:sz w:val="20"/>
        </w:rPr>
        <w:t>1) 확정적 수익 파이프라인: 엔터프라이즈 투트랙(Two-track) 과금 체계</w:t>
      </w:r>
    </w:p>
    <w:p>
      <w:pPr>
        <w:spacing w:before="0" w:after="80"/>
      </w:pPr>
      <w:r>
        <w:rPr>
          <w:rFonts w:ascii="맑은 고딕" w:hAnsi="맑은 고딕" w:eastAsia="맑은 고딕"/>
          <w:b w:val="0"/>
          <w:sz w:val="20"/>
        </w:rPr>
        <w:t>플랫폼 수수료라는 불확실한 BM을 버렸습니다. 고객사 쇼핑몰/ERP에 시스템을 연결해주는 "초기 API 셋업 컨설팅 비용"(안정적 현금 확보 및 Lock-in)과, 영상 렌더링 볼륨에 비례하는 "API 종량제 트래픽 과금"(무한 확장 가능한 매출)의 투트랙을 결합합니다.</w:t>
      </w:r>
    </w:p>
    <w:p>
      <w:pPr>
        <w:spacing w:before="80" w:after="40"/>
        <w:jc w:val="center"/>
      </w:pPr>
      <w:r>
        <w:drawing>
          <wp:inline xmlns:a="http://schemas.openxmlformats.org/drawingml/2006/main" xmlns:pic="http://schemas.openxmlformats.org/drawingml/2006/picture">
            <wp:extent cx="5040000" cy="2835000"/>
            <wp:docPr id="7" name="Picture 7"/>
            <wp:cNvGraphicFramePr>
              <a:graphicFrameLocks noChangeAspect="1"/>
            </wp:cNvGraphicFramePr>
            <a:graphic>
              <a:graphicData uri="http://schemas.openxmlformats.org/drawingml/2006/picture">
                <pic:pic>
                  <pic:nvPicPr>
                    <pic:cNvPr id="0" name="05_ExecutionBM.png"/>
                    <pic:cNvPicPr/>
                  </pic:nvPicPr>
                  <pic:blipFill>
                    <a:blip r:embed="rId15"/>
                    <a:stretch>
                      <a:fillRect/>
                    </a:stretch>
                  </pic:blipFill>
                  <pic:spPr>
                    <a:xfrm>
                      <a:off x="0" y="0"/>
                      <a:ext cx="5040000" cy="2835000"/>
                    </a:xfrm>
                    <a:prstGeom prst="rect"/>
                  </pic:spPr>
                </pic:pic>
              </a:graphicData>
            </a:graphic>
          </wp:inline>
        </w:drawing>
      </w:r>
    </w:p>
    <w:p>
      <w:pPr>
        <w:spacing w:before="0" w:after="160"/>
        <w:jc w:val="center"/>
      </w:pPr>
      <w:r>
        <w:rPr>
          <w:rFonts w:ascii="맑은 고딕" w:hAnsi="맑은 고딕" w:eastAsia="맑은 고딕"/>
          <w:i/>
          <w:color w:val="595959"/>
          <w:sz w:val="17"/>
        </w:rPr>
        <w:t>▲ [그림 7] 초기 셋업비와 렌더링 트래픽 과금을 결합한 B2B 엔터프라이즈 수익 모델</w:t>
      </w:r>
    </w:p>
    <w:p>
      <w:pPr>
        <w:spacing w:before="80" w:after="80"/>
      </w:pPr>
      <w:r>
        <w:rPr>
          <w:rFonts w:ascii="맑은 고딕" w:hAnsi="맑은 고딕" w:eastAsia="맑은 고딕"/>
          <w:b/>
          <w:sz w:val="20"/>
        </w:rPr>
        <w:t>2) 이탈을 원천 차단하는 AI 데이터 플라이휠(Flywheel) Lock-in 구조</w:t>
      </w:r>
    </w:p>
    <w:p>
      <w:pPr>
        <w:spacing w:before="0" w:after="80"/>
      </w:pPr>
      <w:r>
        <w:rPr>
          <w:rFonts w:ascii="맑은 고딕" w:hAnsi="맑은 고딕" w:eastAsia="맑은 고딕"/>
          <w:b w:val="0"/>
          <w:sz w:val="20"/>
        </w:rPr>
        <w:t>소셜 매체로 배포된 숏폼의 성과 데이터(조회수, 전환율 등)를 포털 API로 환류받아, AI가 고효율 패턴을 재학습합니다. 사용할수록 고객의 ROAS(광고수익률)가 극대화되므로, 다른 툴로 이탈(Churn)이 불가한 생태계 Lock-in이 완성됩니다.</w:t>
      </w:r>
    </w:p>
    <w:p>
      <w:pPr>
        <w:spacing w:before="80" w:after="40"/>
        <w:jc w:val="center"/>
      </w:pPr>
      <w:r>
        <w:drawing>
          <wp:inline xmlns:a="http://schemas.openxmlformats.org/drawingml/2006/main" xmlns:pic="http://schemas.openxmlformats.org/drawingml/2006/picture">
            <wp:extent cx="5040000" cy="2835000"/>
            <wp:docPr id="8" name="Picture 8"/>
            <wp:cNvGraphicFramePr>
              <a:graphicFrameLocks noChangeAspect="1"/>
            </wp:cNvGraphicFramePr>
            <a:graphic>
              <a:graphicData uri="http://schemas.openxmlformats.org/drawingml/2006/picture">
                <pic:pic>
                  <pic:nvPicPr>
                    <pic:cNvPr id="0" name="06_Flywheel.png"/>
                    <pic:cNvPicPr/>
                  </pic:nvPicPr>
                  <pic:blipFill>
                    <a:blip r:embed="rId16"/>
                    <a:stretch>
                      <a:fillRect/>
                    </a:stretch>
                  </pic:blipFill>
                  <pic:spPr>
                    <a:xfrm>
                      <a:off x="0" y="0"/>
                      <a:ext cx="5040000" cy="2835000"/>
                    </a:xfrm>
                    <a:prstGeom prst="rect"/>
                  </pic:spPr>
                </pic:pic>
              </a:graphicData>
            </a:graphic>
          </wp:inline>
        </w:drawing>
      </w:r>
    </w:p>
    <w:p>
      <w:pPr>
        <w:spacing w:before="0" w:after="160"/>
        <w:jc w:val="center"/>
      </w:pPr>
      <w:r>
        <w:rPr>
          <w:rFonts w:ascii="맑은 고딕" w:hAnsi="맑은 고딕" w:eastAsia="맑은 고딕"/>
          <w:i/>
          <w:color w:val="595959"/>
          <w:sz w:val="17"/>
        </w:rPr>
        <w:t>▲ [그림 8] 성과 데이터 환류를 통한 AI 플라이휠 및 고객 Lock-in 완성 구조</w:t>
      </w:r>
    </w:p>
    <w:p>
      <w:pPr>
        <w:spacing w:before="160" w:after="80"/>
      </w:pPr>
      <w:r>
        <w:rPr>
          <w:rFonts w:ascii="맑은 고딕" w:hAnsi="맑은 고딕" w:eastAsia="맑은 고딕"/>
          <w:b/>
          <w:sz w:val="22"/>
        </w:rPr>
        <w:t>ㅇ 사업 확장을 위한 투자유치(자금확보) 전략 및 중장기 로드맵</w:t>
      </w:r>
    </w:p>
    <w:p>
      <w:pPr>
        <w:spacing w:before="0" w:after="80"/>
      </w:pPr>
      <w:r>
        <w:rPr>
          <w:rFonts w:ascii="맑은 고딕" w:hAnsi="맑은 고딕" w:eastAsia="맑은 고딕"/>
          <w:b w:val="0"/>
          <w:sz w:val="20"/>
        </w:rPr>
        <w:t>예창패 협약 기간 내 핵심 마일스톤인 초기 대행사 파트너 10곳 및 화이트라벨 확장을 통해 월 매출 1천만 원(BEP)을 조기 달성합니다. 이 유닛 이코노믹스 지표를 무기로 즉각 Seed 라운드(5억 원 규모) 투자유치를 추진하고, 2026년 내 Series A(30억 원+)를 통해 동남아 시장에 진출합니다.</w:t>
      </w:r>
    </w:p>
    <w:p>
      <w:pPr>
        <w:spacing w:before="80" w:after="40"/>
        <w:jc w:val="center"/>
      </w:pPr>
      <w:r>
        <w:drawing>
          <wp:inline xmlns:a="http://schemas.openxmlformats.org/drawingml/2006/main" xmlns:pic="http://schemas.openxmlformats.org/drawingml/2006/picture">
            <wp:extent cx="5040000" cy="2835000"/>
            <wp:docPr id="9" name="Picture 9"/>
            <wp:cNvGraphicFramePr>
              <a:graphicFrameLocks noChangeAspect="1"/>
            </wp:cNvGraphicFramePr>
            <a:graphic>
              <a:graphicData uri="http://schemas.openxmlformats.org/drawingml/2006/picture">
                <pic:pic>
                  <pic:nvPicPr>
                    <pic:cNvPr id="0" name="07_RoadmapESG.png"/>
                    <pic:cNvPicPr/>
                  </pic:nvPicPr>
                  <pic:blipFill>
                    <a:blip r:embed="rId17"/>
                    <a:stretch>
                      <a:fillRect/>
                    </a:stretch>
                  </pic:blipFill>
                  <pic:spPr>
                    <a:xfrm>
                      <a:off x="0" y="0"/>
                      <a:ext cx="5040000" cy="2835000"/>
                    </a:xfrm>
                    <a:prstGeom prst="rect"/>
                  </pic:spPr>
                </pic:pic>
              </a:graphicData>
            </a:graphic>
          </wp:inline>
        </w:drawing>
      </w:r>
    </w:p>
    <w:p>
      <w:pPr>
        <w:spacing w:before="0" w:after="160"/>
        <w:jc w:val="center"/>
      </w:pPr>
      <w:r>
        <w:rPr>
          <w:rFonts w:ascii="맑은 고딕" w:hAnsi="맑은 고딕" w:eastAsia="맑은 고딕"/>
          <w:i/>
          <w:color w:val="595959"/>
          <w:sz w:val="17"/>
        </w:rPr>
        <w:t>▲ [그림 9] BEP 조기 달성 및 후속 투자를 확신하는 구체적 3개년 마일스톤 로드맵</w:t>
      </w:r>
    </w:p>
    <w:p>
      <w:pPr>
        <w:spacing w:before="80" w:after="40"/>
        <w:jc w:val="center"/>
      </w:pPr>
      <w:r>
        <w:drawing>
          <wp:inline xmlns:a="http://schemas.openxmlformats.org/drawingml/2006/main" xmlns:pic="http://schemas.openxmlformats.org/drawingml/2006/picture">
            <wp:extent cx="4680000" cy="2632500"/>
            <wp:docPr id="10" name="Picture 10"/>
            <wp:cNvGraphicFramePr>
              <a:graphicFrameLocks noChangeAspect="1"/>
            </wp:cNvGraphicFramePr>
            <a:graphic>
              <a:graphicData uri="http://schemas.openxmlformats.org/drawingml/2006/picture">
                <pic:pic>
                  <pic:nvPicPr>
                    <pic:cNvPr id="0" name="Shortify_Ver2_NationalImpact.png"/>
                    <pic:cNvPicPr/>
                  </pic:nvPicPr>
                  <pic:blipFill>
                    <a:blip r:embed="rId18"/>
                    <a:stretch>
                      <a:fillRect/>
                    </a:stretch>
                  </pic:blipFill>
                  <pic:spPr>
                    <a:xfrm>
                      <a:off x="0" y="0"/>
                      <a:ext cx="4680000" cy="2632500"/>
                    </a:xfrm>
                    <a:prstGeom prst="rect"/>
                  </pic:spPr>
                </pic:pic>
              </a:graphicData>
            </a:graphic>
          </wp:inline>
        </w:drawing>
      </w:r>
    </w:p>
    <w:p>
      <w:pPr>
        <w:spacing w:before="0" w:after="160"/>
        <w:jc w:val="center"/>
      </w:pPr>
      <w:r>
        <w:rPr>
          <w:rFonts w:ascii="맑은 고딕" w:hAnsi="맑은 고딕" w:eastAsia="맑은 고딕"/>
          <w:i/>
          <w:color w:val="595959"/>
          <w:sz w:val="17"/>
        </w:rPr>
        <w:t>▲ [그림 10] K-마케팅 데이터 주권 수호 및 소상공인 생산수단 민주화 — 국가적 임팩트</w:t>
      </w:r>
    </w:p>
    <w:p>
      <w:pPr>
        <w:spacing w:before="160" w:after="80"/>
      </w:pPr>
      <w:r>
        <w:rPr>
          <w:rFonts w:ascii="맑은 고딕" w:hAnsi="맑은 고딕" w:eastAsia="맑은 고딕"/>
          <w:b/>
          <w:sz w:val="22"/>
        </w:rPr>
        <w:t>[ 사업추진 일정 (전체 사업단계) ]</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D6E4F0" w:val="clear"/>
          </w:tcPr>
          <w:p>
            <w:r>
              <w:rPr>
                <w:rFonts w:ascii="맑은 고딕" w:hAnsi="맑은 고딕" w:eastAsia="맑은 고딕"/>
                <w:b/>
                <w:sz w:val="18"/>
              </w:rPr>
              <w:t>단계</w:t>
            </w:r>
          </w:p>
        </w:tc>
        <w:tc>
          <w:tcPr>
            <w:tcW w:type="dxa" w:w="2351"/>
            <w:shd w:fill="D6E4F0" w:val="clear"/>
          </w:tcPr>
          <w:p>
            <w:r>
              <w:rPr>
                <w:rFonts w:ascii="맑은 고딕" w:hAnsi="맑은 고딕" w:eastAsia="맑은 고딕"/>
                <w:b/>
                <w:sz w:val="18"/>
              </w:rPr>
              <w:t>기간</w:t>
            </w:r>
          </w:p>
        </w:tc>
        <w:tc>
          <w:tcPr>
            <w:tcW w:type="dxa" w:w="2351"/>
            <w:shd w:fill="D6E4F0" w:val="clear"/>
          </w:tcPr>
          <w:p>
            <w:r>
              <w:rPr>
                <w:rFonts w:ascii="맑은 고딕" w:hAnsi="맑은 고딕" w:eastAsia="맑은 고딕"/>
                <w:b/>
                <w:sz w:val="18"/>
              </w:rPr>
              <w:t>주요 마일스톤</w:t>
            </w:r>
          </w:p>
        </w:tc>
        <w:tc>
          <w:tcPr>
            <w:tcW w:type="dxa" w:w="2351"/>
            <w:shd w:fill="D6E4F0" w:val="clear"/>
          </w:tcPr>
          <w:p>
            <w:r>
              <w:rPr>
                <w:rFonts w:ascii="맑은 고딕" w:hAnsi="맑은 고딕" w:eastAsia="맑은 고딕"/>
                <w:b/>
                <w:sz w:val="18"/>
              </w:rPr>
              <w:t>목표 지표</w:t>
            </w:r>
          </w:p>
        </w:tc>
      </w:tr>
      <w:tr>
        <w:tc>
          <w:tcPr>
            <w:tcW w:type="dxa" w:w="2351"/>
          </w:tcPr>
          <w:p>
            <w:r>
              <w:rPr>
                <w:rFonts w:ascii="맑은 고딕" w:hAnsi="맑은 고딕" w:eastAsia="맑은 고딕"/>
                <w:sz w:val="18"/>
              </w:rPr>
              <w:t>1단계</w:t>
            </w:r>
          </w:p>
        </w:tc>
        <w:tc>
          <w:tcPr>
            <w:tcW w:type="dxa" w:w="2351"/>
          </w:tcPr>
          <w:p>
            <w:r>
              <w:rPr>
                <w:rFonts w:ascii="맑은 고딕" w:hAnsi="맑은 고딕" w:eastAsia="맑은 고딕"/>
                <w:sz w:val="18"/>
              </w:rPr>
              <w:t>2025 Q2~Q3</w:t>
            </w:r>
          </w:p>
        </w:tc>
        <w:tc>
          <w:tcPr>
            <w:tcW w:type="dxa" w:w="2351"/>
          </w:tcPr>
          <w:p>
            <w:r>
              <w:rPr>
                <w:rFonts w:ascii="맑은 고딕" w:hAnsi="맑은 고딕" w:eastAsia="맑은 고딕"/>
                <w:sz w:val="18"/>
              </w:rPr>
              <w:t>MVP 완성 + 대행사 파트너 10곳</w:t>
            </w:r>
          </w:p>
        </w:tc>
        <w:tc>
          <w:tcPr>
            <w:tcW w:type="dxa" w:w="2351"/>
          </w:tcPr>
          <w:p>
            <w:r>
              <w:rPr>
                <w:rFonts w:ascii="맑은 고딕" w:hAnsi="맑은 고딕" w:eastAsia="맑은 고딕"/>
                <w:sz w:val="18"/>
              </w:rPr>
              <w:t>월 매출 BEP(1천만원) 달성</w:t>
            </w:r>
          </w:p>
        </w:tc>
      </w:tr>
      <w:tr>
        <w:tc>
          <w:tcPr>
            <w:tcW w:type="dxa" w:w="2351"/>
          </w:tcPr>
          <w:p>
            <w:r>
              <w:rPr>
                <w:rFonts w:ascii="맑은 고딕" w:hAnsi="맑은 고딕" w:eastAsia="맑은 고딕"/>
                <w:sz w:val="18"/>
              </w:rPr>
              <w:t>2단계</w:t>
            </w:r>
          </w:p>
        </w:tc>
        <w:tc>
          <w:tcPr>
            <w:tcW w:type="dxa" w:w="2351"/>
          </w:tcPr>
          <w:p>
            <w:r>
              <w:rPr>
                <w:rFonts w:ascii="맑은 고딕" w:hAnsi="맑은 고딕" w:eastAsia="맑은 고딕"/>
                <w:sz w:val="18"/>
              </w:rPr>
              <w:t>2025 Q4</w:t>
            </w:r>
          </w:p>
        </w:tc>
        <w:tc>
          <w:tcPr>
            <w:tcW w:type="dxa" w:w="2351"/>
          </w:tcPr>
          <w:p>
            <w:r>
              <w:rPr>
                <w:rFonts w:ascii="맑은 고딕" w:hAnsi="맑은 고딕" w:eastAsia="맑은 고딕"/>
                <w:sz w:val="18"/>
              </w:rPr>
              <w:t>Seed 라운드 투자유치(5억원)</w:t>
            </w:r>
          </w:p>
        </w:tc>
        <w:tc>
          <w:tcPr>
            <w:tcW w:type="dxa" w:w="2351"/>
          </w:tcPr>
          <w:p>
            <w:r>
              <w:rPr>
                <w:rFonts w:ascii="맑은 고딕" w:hAnsi="맑은 고딕" w:eastAsia="맑은 고딕"/>
                <w:sz w:val="18"/>
              </w:rPr>
              <w:t>MAU 50개 브랜드, MRR 3천만원</w:t>
            </w:r>
          </w:p>
        </w:tc>
      </w:tr>
      <w:tr>
        <w:tc>
          <w:tcPr>
            <w:tcW w:type="dxa" w:w="2351"/>
          </w:tcPr>
          <w:p>
            <w:r>
              <w:rPr>
                <w:rFonts w:ascii="맑은 고딕" w:hAnsi="맑은 고딕" w:eastAsia="맑은 고딕"/>
                <w:sz w:val="18"/>
              </w:rPr>
              <w:t>3단계</w:t>
            </w:r>
          </w:p>
        </w:tc>
        <w:tc>
          <w:tcPr>
            <w:tcW w:type="dxa" w:w="2351"/>
          </w:tcPr>
          <w:p>
            <w:r>
              <w:rPr>
                <w:rFonts w:ascii="맑은 고딕" w:hAnsi="맑은 고딕" w:eastAsia="맑은 고딕"/>
                <w:sz w:val="18"/>
              </w:rPr>
              <w:t>2026 Q1~Q2</w:t>
            </w:r>
          </w:p>
        </w:tc>
        <w:tc>
          <w:tcPr>
            <w:tcW w:type="dxa" w:w="2351"/>
          </w:tcPr>
          <w:p>
            <w:r>
              <w:rPr>
                <w:rFonts w:ascii="맑은 고딕" w:hAnsi="맑은 고딕" w:eastAsia="맑은 고딕"/>
                <w:sz w:val="18"/>
              </w:rPr>
              <w:t>Series A(30억원) + 동남아 진출</w:t>
            </w:r>
          </w:p>
        </w:tc>
        <w:tc>
          <w:tcPr>
            <w:tcW w:type="dxa" w:w="2351"/>
          </w:tcPr>
          <w:p>
            <w:r>
              <w:rPr>
                <w:rFonts w:ascii="맑은 고딕" w:hAnsi="맑은 고딕" w:eastAsia="맑은 고딕"/>
                <w:sz w:val="18"/>
              </w:rPr>
              <w:t>MRR 1억원, 해외 파트너 5곳</w:t>
            </w:r>
          </w:p>
        </w:tc>
      </w:tr>
      <w:tr>
        <w:tc>
          <w:tcPr>
            <w:tcW w:type="dxa" w:w="2351"/>
          </w:tcPr>
          <w:p>
            <w:r>
              <w:rPr>
                <w:rFonts w:ascii="맑은 고딕" w:hAnsi="맑은 고딕" w:eastAsia="맑은 고딕"/>
                <w:sz w:val="18"/>
              </w:rPr>
              <w:t>4단계</w:t>
            </w:r>
          </w:p>
        </w:tc>
        <w:tc>
          <w:tcPr>
            <w:tcW w:type="dxa" w:w="2351"/>
          </w:tcPr>
          <w:p>
            <w:r>
              <w:rPr>
                <w:rFonts w:ascii="맑은 고딕" w:hAnsi="맑은 고딕" w:eastAsia="맑은 고딕"/>
                <w:sz w:val="18"/>
              </w:rPr>
              <w:t>2026 Q3~</w:t>
            </w:r>
          </w:p>
        </w:tc>
        <w:tc>
          <w:tcPr>
            <w:tcW w:type="dxa" w:w="2351"/>
          </w:tcPr>
          <w:p>
            <w:r>
              <w:rPr>
                <w:rFonts w:ascii="맑은 고딕" w:hAnsi="맑은 고딕" w:eastAsia="맑은 고딕"/>
                <w:sz w:val="18"/>
              </w:rPr>
              <w:t>글로벌 SaaS 전환</w:t>
            </w:r>
          </w:p>
        </w:tc>
        <w:tc>
          <w:tcPr>
            <w:tcW w:type="dxa" w:w="2351"/>
          </w:tcPr>
          <w:p>
            <w:r>
              <w:rPr>
                <w:rFonts w:ascii="맑은 고딕" w:hAnsi="맑은 고딕" w:eastAsia="맑은 고딕"/>
                <w:sz w:val="18"/>
              </w:rPr>
              <w:t>ARR 10억원+, 시장점유율 10%</w:t>
            </w:r>
          </w:p>
        </w:tc>
      </w:tr>
    </w:tbl>
    <w:p>
      <w:pPr>
        <w:spacing w:after="40"/>
      </w:pPr>
    </w:p>
    <w:p>
      <w:pPr>
        <w:spacing w:before="240" w:after="80"/>
      </w:pPr>
      <w:r>
        <w:rPr>
          <w:rFonts w:ascii="맑은 고딕" w:hAnsi="맑은 고딕" w:eastAsia="맑은 고딕"/>
          <w:b/>
          <w:color w:val="1F497D"/>
          <w:sz w:val="26"/>
        </w:rPr>
        <w:t>4. 팀 구성 (Team) — 대표자 및 팀원 구성 계획</w:t>
      </w:r>
    </w:p>
    <w:p>
      <w:pPr>
        <w:spacing w:before="160" w:after="80"/>
      </w:pPr>
      <w:r>
        <w:rPr>
          <w:rFonts w:ascii="맑은 고딕" w:hAnsi="맑은 고딕" w:eastAsia="맑은 고딕"/>
          <w:b/>
          <w:sz w:val="22"/>
        </w:rPr>
        <w:t>ㅇ 대표자 보유 역량(경영 능력, 기술력, 노하우 등)</w:t>
      </w:r>
    </w:p>
    <w:p>
      <w:pPr>
        <w:spacing w:before="80" w:after="80"/>
      </w:pPr>
      <w:r>
        <w:rPr>
          <w:rFonts w:ascii="맑은 고딕" w:hAnsi="맑은 고딕" w:eastAsia="맑은 고딕"/>
          <w:b/>
          <w:sz w:val="20"/>
        </w:rPr>
        <w:t>1) B2B 시장의 병목을 뼈저리게 체득한 "커머스 마케팅 프로젝트 총괄 디렉터"</w:t>
      </w:r>
    </w:p>
    <w:p>
      <w:pPr>
        <w:spacing w:before="0" w:after="80"/>
      </w:pPr>
      <w:r>
        <w:rPr>
          <w:rFonts w:ascii="맑은 고딕" w:hAnsi="맑은 고딕" w:eastAsia="맑은 고딕"/>
          <w:b w:val="0"/>
          <w:sz w:val="20"/>
        </w:rPr>
        <w:t>다년간 B2B 커머스 마케팅 현장에서 수백 건의 프로젝트를 지휘하며, 파편화된 소통과 인간의 개입이 어떻게 제작 원가를 기하급수적으로 상승시키는지를 최전선에서 체득했습니다. 이 값비싼 실무 통찰이 "인간 개입을 최소화하는 Zero-Click 인프라"라는 Shortify의 핵심 제품 철학으로 승화되었습니다.</w:t>
      </w:r>
    </w:p>
    <w:p>
      <w:pPr>
        <w:spacing w:before="80" w:after="80"/>
      </w:pPr>
      <w:r>
        <w:rPr>
          <w:rFonts w:ascii="맑은 고딕" w:hAnsi="맑은 고딕" w:eastAsia="맑은 고딕"/>
          <w:b/>
          <w:sz w:val="20"/>
        </w:rPr>
        <w:t>2) 압도적 실행력: 외주 없는 "최상위권 프롬프팅 및 AI 코딩 자체 구현력"</w:t>
      </w:r>
    </w:p>
    <w:p>
      <w:pPr>
        <w:spacing w:before="0" w:after="80"/>
      </w:pPr>
      <w:r>
        <w:rPr>
          <w:rFonts w:ascii="맑은 고딕" w:hAnsi="맑은 고딕" w:eastAsia="맑은 고딕"/>
          <w:b w:val="0"/>
          <w:sz w:val="20"/>
        </w:rPr>
        <w:t>기술 구현을 외주에 의존하다 무너지는 팀과 궤를 달리합니다. 대표 본인이 최상위권 프롬프트 엔지니어링 역량을 바탕으로 파운데이션 모델(GPT, Claude, Kling 등) 실무 연동 연구에 매진해왔습니다. 현재 독자적인 LangGraph 아키텍처를 직접 설계하고, AI 코딩 어시스턴트를 활용해 MVP 코어 엔진의 80% 이상을 단독으로 코딩·구현 완료하는 압도적인 기술적 실행력을 증명했습니다.</w:t>
      </w:r>
    </w:p>
    <w:p>
      <w:pPr>
        <w:spacing w:before="80" w:after="40"/>
        <w:jc w:val="center"/>
      </w:pPr>
      <w:r>
        <w:drawing>
          <wp:inline xmlns:a="http://schemas.openxmlformats.org/drawingml/2006/main" xmlns:pic="http://schemas.openxmlformats.org/drawingml/2006/picture">
            <wp:extent cx="5040000" cy="2835000"/>
            <wp:docPr id="11" name="Picture 11"/>
            <wp:cNvGraphicFramePr>
              <a:graphicFrameLocks noChangeAspect="1"/>
            </wp:cNvGraphicFramePr>
            <a:graphic>
              <a:graphicData uri="http://schemas.openxmlformats.org/drawingml/2006/picture">
                <pic:pic>
                  <pic:nvPicPr>
                    <pic:cNvPr id="0" name="08_TeamFact.png"/>
                    <pic:cNvPicPr/>
                  </pic:nvPicPr>
                  <pic:blipFill>
                    <a:blip r:embed="rId19"/>
                    <a:stretch>
                      <a:fillRect/>
                    </a:stretch>
                  </pic:blipFill>
                  <pic:spPr>
                    <a:xfrm>
                      <a:off x="0" y="0"/>
                      <a:ext cx="5040000" cy="2835000"/>
                    </a:xfrm>
                    <a:prstGeom prst="rect"/>
                  </pic:spPr>
                </pic:pic>
              </a:graphicData>
            </a:graphic>
          </wp:inline>
        </w:drawing>
      </w:r>
    </w:p>
    <w:p>
      <w:pPr>
        <w:spacing w:before="0" w:after="160"/>
        <w:jc w:val="center"/>
      </w:pPr>
      <w:r>
        <w:rPr>
          <w:rFonts w:ascii="맑은 고딕" w:hAnsi="맑은 고딕" w:eastAsia="맑은 고딕"/>
          <w:i/>
          <w:color w:val="595959"/>
          <w:sz w:val="17"/>
        </w:rPr>
        <w:t>▲ [그림 11] 명확한 문제 정의 통찰과 압도적 자체 기술 구현력이 결합된 핵심 팀 역량</w:t>
      </w:r>
    </w:p>
    <w:p>
      <w:pPr>
        <w:spacing w:before="160" w:after="80"/>
      </w:pPr>
      <w:r>
        <w:rPr>
          <w:rFonts w:ascii="맑은 고딕" w:hAnsi="맑은 고딕" w:eastAsia="맑은 고딕"/>
          <w:b/>
          <w:sz w:val="22"/>
        </w:rPr>
        <w:t>ㅇ 팀원 구성 계획 및 업무 파트너 현황</w:t>
      </w:r>
    </w:p>
    <w:p>
      <w:pPr>
        <w:spacing w:before="0" w:after="80"/>
      </w:pPr>
      <w:r>
        <w:rPr>
          <w:rFonts w:ascii="맑은 고딕" w:hAnsi="맑은 고딕" w:eastAsia="맑은 고딕"/>
          <w:b w:val="0"/>
          <w:sz w:val="20"/>
        </w:rPr>
        <w:t>(초효율 AI 네이티브 조직) 초기 3개월은 대표자의 1인 초격차 자체 개발로 속도전을 전개합니다. 서비스 런칭 시점에 트래픽 분산을 책임질 AWS 아키텍트(이사급)와 고객 온보딩 전담 B2B 오퍼레이터를 합류시킵니다.</w:t>
      </w:r>
    </w:p>
    <w:p>
      <w:pPr>
        <w:spacing w:before="0" w:after="80"/>
      </w:pPr>
      <w:r>
        <w:rPr>
          <w:rFonts w:ascii="맑은 고딕" w:hAnsi="맑은 고딕" w:eastAsia="맑은 고딕"/>
          <w:b w:val="0"/>
          <w:sz w:val="20"/>
        </w:rPr>
        <w:t>(강력한 초기 파트너십) 대표의 현장 네트워크를 활용하여 국내 유수 마케팅 대행사 2곳과 사전 협의를 마쳤으며, 시스템 개발 즉시 PoC를 진행하여 초기 영업망으로 전환시킵니다.</w:t>
      </w:r>
    </w:p>
    <w:p>
      <w:pPr>
        <w:spacing w:before="160" w:after="80"/>
      </w:pPr>
      <w:r>
        <w:rPr>
          <w:rFonts w:ascii="맑은 고딕" w:hAnsi="맑은 고딕" w:eastAsia="맑은 고딕"/>
          <w:b/>
          <w:sz w:val="22"/>
        </w:rPr>
        <w:t>[ 팀 구성(안) ]</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fill="D6E4F0" w:val="clear"/>
          </w:tcPr>
          <w:p>
            <w:r>
              <w:rPr>
                <w:rFonts w:ascii="맑은 고딕" w:hAnsi="맑은 고딕" w:eastAsia="맑은 고딕"/>
                <w:b/>
                <w:sz w:val="18"/>
              </w:rPr>
              <w:t>구분</w:t>
            </w:r>
          </w:p>
        </w:tc>
        <w:tc>
          <w:tcPr>
            <w:tcW w:type="dxa" w:w="1881"/>
            <w:shd w:fill="D6E4F0" w:val="clear"/>
          </w:tcPr>
          <w:p>
            <w:r>
              <w:rPr>
                <w:rFonts w:ascii="맑은 고딕" w:hAnsi="맑은 고딕" w:eastAsia="맑은 고딕"/>
                <w:b/>
                <w:sz w:val="18"/>
              </w:rPr>
              <w:t>직위</w:t>
            </w:r>
          </w:p>
        </w:tc>
        <w:tc>
          <w:tcPr>
            <w:tcW w:type="dxa" w:w="1881"/>
            <w:shd w:fill="D6E4F0" w:val="clear"/>
          </w:tcPr>
          <w:p>
            <w:r>
              <w:rPr>
                <w:rFonts w:ascii="맑은 고딕" w:hAnsi="맑은 고딕" w:eastAsia="맑은 고딕"/>
                <w:b/>
                <w:sz w:val="18"/>
              </w:rPr>
              <w:t>담당 업무</w:t>
            </w:r>
          </w:p>
        </w:tc>
        <w:tc>
          <w:tcPr>
            <w:tcW w:type="dxa" w:w="1881"/>
            <w:shd w:fill="D6E4F0" w:val="clear"/>
          </w:tcPr>
          <w:p>
            <w:r>
              <w:rPr>
                <w:rFonts w:ascii="맑은 고딕" w:hAnsi="맑은 고딕" w:eastAsia="맑은 고딕"/>
                <w:b/>
                <w:sz w:val="18"/>
              </w:rPr>
              <w:t>보유 역량</w:t>
            </w:r>
          </w:p>
        </w:tc>
        <w:tc>
          <w:tcPr>
            <w:tcW w:type="dxa" w:w="1881"/>
            <w:shd w:fill="D6E4F0" w:val="clear"/>
          </w:tcPr>
          <w:p>
            <w:r>
              <w:rPr>
                <w:rFonts w:ascii="맑은 고딕" w:hAnsi="맑은 고딕" w:eastAsia="맑은 고딕"/>
                <w:b/>
                <w:sz w:val="18"/>
              </w:rPr>
              <w:t>구성 상태</w:t>
            </w:r>
          </w:p>
        </w:tc>
      </w:tr>
      <w:tr>
        <w:tc>
          <w:tcPr>
            <w:tcW w:type="dxa" w:w="1881"/>
          </w:tcPr>
          <w:p>
            <w:r>
              <w:rPr>
                <w:rFonts w:ascii="맑은 고딕" w:hAnsi="맑은 고딕" w:eastAsia="맑은 고딕"/>
                <w:sz w:val="18"/>
              </w:rPr>
              <w:t>1</w:t>
            </w:r>
          </w:p>
        </w:tc>
        <w:tc>
          <w:tcPr>
            <w:tcW w:type="dxa" w:w="1881"/>
          </w:tcPr>
          <w:p>
            <w:r>
              <w:rPr>
                <w:rFonts w:ascii="맑은 고딕" w:hAnsi="맑은 고딕" w:eastAsia="맑은 고딕"/>
                <w:sz w:val="18"/>
              </w:rPr>
              <w:t>대표자</w:t>
            </w:r>
          </w:p>
        </w:tc>
        <w:tc>
          <w:tcPr>
            <w:tcW w:type="dxa" w:w="1881"/>
          </w:tcPr>
          <w:p>
            <w:r>
              <w:rPr>
                <w:rFonts w:ascii="맑은 고딕" w:hAnsi="맑은 고딕" w:eastAsia="맑은 고딕"/>
                <w:sz w:val="18"/>
              </w:rPr>
              <w:t>AI 제품 기획·개발 총괄</w:t>
            </w:r>
          </w:p>
        </w:tc>
        <w:tc>
          <w:tcPr>
            <w:tcW w:type="dxa" w:w="1881"/>
          </w:tcPr>
          <w:p>
            <w:r>
              <w:rPr>
                <w:rFonts w:ascii="맑은 고딕" w:hAnsi="맑은 고딕" w:eastAsia="맑은 고딕"/>
                <w:sz w:val="18"/>
              </w:rPr>
              <w:t>B2B 커머스 마케팅 디렉터 경력, LangGraph 아키텍처 독자 구현, MVP 80%+ 단독 개발</w:t>
            </w:r>
          </w:p>
        </w:tc>
        <w:tc>
          <w:tcPr>
            <w:tcW w:type="dxa" w:w="1881"/>
          </w:tcPr>
          <w:p>
            <w:r>
              <w:rPr>
                <w:rFonts w:ascii="맑은 고딕" w:hAnsi="맑은 고딕" w:eastAsia="맑은 고딕"/>
                <w:sz w:val="18"/>
              </w:rPr>
              <w:t>완료</w:t>
            </w:r>
          </w:p>
        </w:tc>
      </w:tr>
      <w:tr>
        <w:tc>
          <w:tcPr>
            <w:tcW w:type="dxa" w:w="1881"/>
          </w:tcPr>
          <w:p>
            <w:r>
              <w:rPr>
                <w:rFonts w:ascii="맑은 고딕" w:hAnsi="맑은 고딕" w:eastAsia="맑은 고딕"/>
                <w:sz w:val="18"/>
              </w:rPr>
              <w:t>2</w:t>
            </w:r>
          </w:p>
        </w:tc>
        <w:tc>
          <w:tcPr>
            <w:tcW w:type="dxa" w:w="1881"/>
          </w:tcPr>
          <w:p>
            <w:r>
              <w:rPr>
                <w:rFonts w:ascii="맑은 고딕" w:hAnsi="맑은 고딕" w:eastAsia="맑은 고딕"/>
                <w:sz w:val="18"/>
              </w:rPr>
              <w:t>AWS 아키텍트 (이사급)</w:t>
            </w:r>
          </w:p>
        </w:tc>
        <w:tc>
          <w:tcPr>
            <w:tcW w:type="dxa" w:w="1881"/>
          </w:tcPr>
          <w:p>
            <w:r>
              <w:rPr>
                <w:rFonts w:ascii="맑은 고딕" w:hAnsi="맑은 고딕" w:eastAsia="맑은 고딕"/>
                <w:sz w:val="18"/>
              </w:rPr>
              <w:t>서버·인프라 총괄</w:t>
            </w:r>
          </w:p>
        </w:tc>
        <w:tc>
          <w:tcPr>
            <w:tcW w:type="dxa" w:w="1881"/>
          </w:tcPr>
          <w:p>
            <w:r>
              <w:rPr>
                <w:rFonts w:ascii="맑은 고딕" w:hAnsi="맑은 고딕" w:eastAsia="맑은 고딕"/>
                <w:sz w:val="18"/>
              </w:rPr>
              <w:t>AWS Solutions Architect, 클라우드 인프라 10년+</w:t>
            </w:r>
          </w:p>
        </w:tc>
        <w:tc>
          <w:tcPr>
            <w:tcW w:type="dxa" w:w="1881"/>
          </w:tcPr>
          <w:p>
            <w:r>
              <w:rPr>
                <w:rFonts w:ascii="맑은 고딕" w:hAnsi="맑은 고딕" w:eastAsia="맑은 고딕"/>
                <w:sz w:val="18"/>
              </w:rPr>
              <w:t>예정 (런칭 시)</w:t>
            </w:r>
          </w:p>
        </w:tc>
      </w:tr>
      <w:tr>
        <w:tc>
          <w:tcPr>
            <w:tcW w:type="dxa" w:w="1881"/>
          </w:tcPr>
          <w:p>
            <w:r>
              <w:rPr>
                <w:rFonts w:ascii="맑은 고딕" w:hAnsi="맑은 고딕" w:eastAsia="맑은 고딕"/>
                <w:sz w:val="18"/>
              </w:rPr>
              <w:t>3</w:t>
            </w:r>
          </w:p>
        </w:tc>
        <w:tc>
          <w:tcPr>
            <w:tcW w:type="dxa" w:w="1881"/>
          </w:tcPr>
          <w:p>
            <w:r>
              <w:rPr>
                <w:rFonts w:ascii="맑은 고딕" w:hAnsi="맑은 고딕" w:eastAsia="맑은 고딕"/>
                <w:sz w:val="18"/>
              </w:rPr>
              <w:t>B2B 오퍼레이터</w:t>
            </w:r>
          </w:p>
        </w:tc>
        <w:tc>
          <w:tcPr>
            <w:tcW w:type="dxa" w:w="1881"/>
          </w:tcPr>
          <w:p>
            <w:r>
              <w:rPr>
                <w:rFonts w:ascii="맑은 고딕" w:hAnsi="맑은 고딕" w:eastAsia="맑은 고딕"/>
                <w:sz w:val="18"/>
              </w:rPr>
              <w:t>고객 온보딩·CS 전담</w:t>
            </w:r>
          </w:p>
        </w:tc>
        <w:tc>
          <w:tcPr>
            <w:tcW w:type="dxa" w:w="1881"/>
          </w:tcPr>
          <w:p>
            <w:r>
              <w:rPr>
                <w:rFonts w:ascii="맑은 고딕" w:hAnsi="맑은 고딕" w:eastAsia="맑은 고딕"/>
                <w:sz w:val="18"/>
              </w:rPr>
              <w:t>B2B 영업·마케팅 경력 5년+</w:t>
            </w:r>
          </w:p>
        </w:tc>
        <w:tc>
          <w:tcPr>
            <w:tcW w:type="dxa" w:w="1881"/>
          </w:tcPr>
          <w:p>
            <w:r>
              <w:rPr>
                <w:rFonts w:ascii="맑은 고딕" w:hAnsi="맑은 고딕" w:eastAsia="맑은 고딕"/>
                <w:sz w:val="18"/>
              </w:rPr>
              <w:t>예정 (런칭 시)</w:t>
            </w:r>
          </w:p>
        </w:tc>
      </w:tr>
    </w:tbl>
    <w:p>
      <w:pPr>
        <w:spacing w:after="40"/>
      </w:pPr>
    </w:p>
    <w:p>
      <w:pPr>
        <w:spacing w:before="160" w:after="80"/>
      </w:pPr>
      <w:r>
        <w:rPr>
          <w:rFonts w:ascii="맑은 고딕" w:hAnsi="맑은 고딕" w:eastAsia="맑은 고딕"/>
          <w:b/>
          <w:sz w:val="22"/>
        </w:rPr>
        <w:t>[ 협력기관 현황 ]</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fill="D6E4F0" w:val="clear"/>
          </w:tcPr>
          <w:p>
            <w:r>
              <w:rPr>
                <w:rFonts w:ascii="맑은 고딕" w:hAnsi="맑은 고딕" w:eastAsia="맑은 고딕"/>
                <w:b/>
                <w:sz w:val="18"/>
              </w:rPr>
              <w:t>구분</w:t>
            </w:r>
          </w:p>
        </w:tc>
        <w:tc>
          <w:tcPr>
            <w:tcW w:type="dxa" w:w="1881"/>
            <w:shd w:fill="D6E4F0" w:val="clear"/>
          </w:tcPr>
          <w:p>
            <w:r>
              <w:rPr>
                <w:rFonts w:ascii="맑은 고딕" w:hAnsi="맑은 고딕" w:eastAsia="맑은 고딕"/>
                <w:b/>
                <w:sz w:val="18"/>
              </w:rPr>
              <w:t>파트너명</w:t>
            </w:r>
          </w:p>
        </w:tc>
        <w:tc>
          <w:tcPr>
            <w:tcW w:type="dxa" w:w="1881"/>
            <w:shd w:fill="D6E4F0" w:val="clear"/>
          </w:tcPr>
          <w:p>
            <w:r>
              <w:rPr>
                <w:rFonts w:ascii="맑은 고딕" w:hAnsi="맑은 고딕" w:eastAsia="맑은 고딕"/>
                <w:b/>
                <w:sz w:val="18"/>
              </w:rPr>
              <w:t>보유 역량</w:t>
            </w:r>
          </w:p>
        </w:tc>
        <w:tc>
          <w:tcPr>
            <w:tcW w:type="dxa" w:w="1881"/>
            <w:shd w:fill="D6E4F0" w:val="clear"/>
          </w:tcPr>
          <w:p>
            <w:r>
              <w:rPr>
                <w:rFonts w:ascii="맑은 고딕" w:hAnsi="맑은 고딕" w:eastAsia="맑은 고딕"/>
                <w:b/>
                <w:sz w:val="18"/>
              </w:rPr>
              <w:t>협업 방안</w:t>
            </w:r>
          </w:p>
        </w:tc>
        <w:tc>
          <w:tcPr>
            <w:tcW w:type="dxa" w:w="1881"/>
            <w:shd w:fill="D6E4F0" w:val="clear"/>
          </w:tcPr>
          <w:p>
            <w:r>
              <w:rPr>
                <w:rFonts w:ascii="맑은 고딕" w:hAnsi="맑은 고딕" w:eastAsia="맑은 고딕"/>
                <w:b/>
                <w:sz w:val="18"/>
              </w:rPr>
              <w:t>협력 시기</w:t>
            </w:r>
          </w:p>
        </w:tc>
      </w:tr>
      <w:tr>
        <w:tc>
          <w:tcPr>
            <w:tcW w:type="dxa" w:w="1881"/>
          </w:tcPr>
          <w:p>
            <w:r>
              <w:rPr>
                <w:rFonts w:ascii="맑은 고딕" w:hAnsi="맑은 고딕" w:eastAsia="맑은 고딕"/>
                <w:sz w:val="18"/>
              </w:rPr>
              <w:t>1</w:t>
            </w:r>
          </w:p>
        </w:tc>
        <w:tc>
          <w:tcPr>
            <w:tcW w:type="dxa" w:w="1881"/>
          </w:tcPr>
          <w:p>
            <w:r>
              <w:rPr>
                <w:rFonts w:ascii="맑은 고딕" w:hAnsi="맑은 고딕" w:eastAsia="맑은 고딕"/>
                <w:sz w:val="18"/>
              </w:rPr>
              <w:t>마케팅 대행사 A</w:t>
            </w:r>
          </w:p>
        </w:tc>
        <w:tc>
          <w:tcPr>
            <w:tcW w:type="dxa" w:w="1881"/>
          </w:tcPr>
          <w:p>
            <w:r>
              <w:rPr>
                <w:rFonts w:ascii="맑은 고딕" w:hAnsi="맑은 고딕" w:eastAsia="맑은 고딕"/>
                <w:sz w:val="18"/>
              </w:rPr>
              <w:t>B2B 이커머스 마케팅 실무</w:t>
            </w:r>
          </w:p>
        </w:tc>
        <w:tc>
          <w:tcPr>
            <w:tcW w:type="dxa" w:w="1881"/>
          </w:tcPr>
          <w:p>
            <w:r>
              <w:rPr>
                <w:rFonts w:ascii="맑은 고딕" w:hAnsi="맑은 고딕" w:eastAsia="맑은 고딕"/>
                <w:sz w:val="18"/>
              </w:rPr>
              <w:t>PoC 테스트베드, 초기 영업망 전환</w:t>
            </w:r>
          </w:p>
        </w:tc>
        <w:tc>
          <w:tcPr>
            <w:tcW w:type="dxa" w:w="1881"/>
          </w:tcPr>
          <w:p>
            <w:r>
              <w:rPr>
                <w:rFonts w:ascii="맑은 고딕" w:hAnsi="맑은 고딕" w:eastAsia="맑은 고딕"/>
                <w:sz w:val="18"/>
              </w:rPr>
              <w:t>개발 완료 즉시</w:t>
            </w:r>
          </w:p>
        </w:tc>
      </w:tr>
      <w:tr>
        <w:tc>
          <w:tcPr>
            <w:tcW w:type="dxa" w:w="1881"/>
          </w:tcPr>
          <w:p>
            <w:r>
              <w:rPr>
                <w:rFonts w:ascii="맑은 고딕" w:hAnsi="맑은 고딕" w:eastAsia="맑은 고딕"/>
                <w:sz w:val="18"/>
              </w:rPr>
              <w:t>2</w:t>
            </w:r>
          </w:p>
        </w:tc>
        <w:tc>
          <w:tcPr>
            <w:tcW w:type="dxa" w:w="1881"/>
          </w:tcPr>
          <w:p>
            <w:r>
              <w:rPr>
                <w:rFonts w:ascii="맑은 고딕" w:hAnsi="맑은 고딕" w:eastAsia="맑은 고딕"/>
                <w:sz w:val="18"/>
              </w:rPr>
              <w:t>마케팅 대행사 B</w:t>
            </w:r>
          </w:p>
        </w:tc>
        <w:tc>
          <w:tcPr>
            <w:tcW w:type="dxa" w:w="1881"/>
          </w:tcPr>
          <w:p>
            <w:r>
              <w:rPr>
                <w:rFonts w:ascii="맑은 고딕" w:hAnsi="맑은 고딕" w:eastAsia="맑은 고딕"/>
                <w:sz w:val="18"/>
              </w:rPr>
              <w:t>D2C 브랜드 다수 보유</w:t>
            </w:r>
          </w:p>
        </w:tc>
        <w:tc>
          <w:tcPr>
            <w:tcW w:type="dxa" w:w="1881"/>
          </w:tcPr>
          <w:p>
            <w:r>
              <w:rPr>
                <w:rFonts w:ascii="맑은 고딕" w:hAnsi="맑은 고딕" w:eastAsia="맑은 고딕"/>
                <w:sz w:val="18"/>
              </w:rPr>
              <w:t>White-label 계정 제공, 레퍼런스 확보</w:t>
            </w:r>
          </w:p>
        </w:tc>
        <w:tc>
          <w:tcPr>
            <w:tcW w:type="dxa" w:w="1881"/>
          </w:tcPr>
          <w:p>
            <w:r>
              <w:rPr>
                <w:rFonts w:ascii="맑은 고딕" w:hAnsi="맑은 고딕" w:eastAsia="맑은 고딕"/>
                <w:sz w:val="18"/>
              </w:rPr>
              <w:t>개발 완료 즉시</w:t>
            </w:r>
          </w:p>
        </w:tc>
      </w:tr>
    </w:tbl>
    <w:p>
      <w:pPr>
        <w:spacing w:after="40"/>
      </w:pP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