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Introducción.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El producto a ser probado será la plataforma de la empresa Netflix en la cual el usuario puede rentar películas de acuerdo a su suscripción.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Objetivos.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2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Establecer las tareas a ser probadas (funcionalidades dentro de la plataforma)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Definir la alcanzabilidad de las pruebas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Documentar los detalles de las pruebas mediante la herramienta de Google Docs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Comunicación de equipo mediante la plataforma Microsoft Teams</w:t>
      </w:r>
      <w:r w:rsidDel="00000000" w:rsidR="00000000" w:rsidRPr="00000000">
        <w:rPr>
          <w:b w:val="1"/>
          <w:color w:val="24292f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Tareas.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20" w:before="22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Testing. Se realizarán todas las pruebas definidas por el equipo</w:t>
        <w:br w:type="textWrapping"/>
      </w:r>
    </w:p>
    <w:p w:rsidR="00000000" w:rsidDel="00000000" w:rsidP="00000000" w:rsidRDefault="00000000" w:rsidRPr="00000000" w14:paraId="0000000C">
      <w:pPr>
        <w:spacing w:after="220" w:before="220" w:lineRule="auto"/>
        <w:ind w:left="720" w:firstLine="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1.1 Cada semana el equipo realizará juntas para conocer el avance en dicha etapa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2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Post-testing. Se definirá el resultado de las pruebas efectuadas durante la etapa de Testing así como su solución en caso de requerirse.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2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Entrega. En base a la información de la fase anterior el equipo de testing entregará el estado general de la plataforma para decidir si está listo para su entrega final o no. En caso de que no se considere al producto listo para su liberación se deberá de generar un reporte especificando las fallas y su posible solución así como un estimado en costo y tiempo para dicha solución o soluciones.</w:t>
      </w:r>
      <w:r w:rsidDel="00000000" w:rsidR="00000000" w:rsidRPr="00000000">
        <w:rPr>
          <w:b w:val="1"/>
          <w:color w:val="24292f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Alcance.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Se probará el correcto funcionamiento de las siguientes funcionalidades de la plataforma: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2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User login - Que el usuario pueda iniciar sesión correctamente ingresando sus datos de acceso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Suscripción - Que el cobro por la suscripción de un usuario se realice en tiempo y forma de acuerdo a la información de pago que presenta el usuario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Oferta de contenido - Que el usuario pueda buscar por distintas clasificaciones (género o nombre de película) el contenido que quiera rentar.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Envío - Toda la información correspondiente al envío de los DVD (información de usuario que renta, estado del DVD y fecha de devolución y entrega) debe de poder visualizarse correctamente para el usuario.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Estrategías de prueba.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20" w:before="22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Functional testing (black box testing, smoke, boundary values, regression testing, sanity testing, regression, unit testing, tabla de decisiones).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Calendario de pruebas.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2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Sprint 1: User login y Suscripción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Sprint 2: Oferta de contenido y envío</w:t>
      </w:r>
    </w:p>
    <w:p w:rsidR="00000000" w:rsidDel="00000000" w:rsidP="00000000" w:rsidRDefault="00000000" w:rsidRPr="00000000" w14:paraId="0000001A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Funcionalidades a ser probadas.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20" w:before="22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Login, Pagos, Stock de películas, Status de envío, Suscripción, Seguridad(?)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Funcionalidades a no ser probadas.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20" w:before="22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Inbound/outbound traffic, API’s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Dependencias.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20" w:lineRule="auto"/>
        <w:ind w:left="720" w:hanging="360"/>
        <w:rPr>
          <w:color w:val="24292f"/>
          <w:sz w:val="15"/>
          <w:szCs w:val="15"/>
        </w:rPr>
      </w:pPr>
      <w:r w:rsidDel="00000000" w:rsidR="00000000" w:rsidRPr="00000000">
        <w:rPr>
          <w:color w:val="24292f"/>
          <w:rtl w:val="0"/>
        </w:rPr>
        <w:t xml:space="preserve">Ambientes bien configurados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Acceso a base de datos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4292f"/>
          <w:sz w:val="22"/>
          <w:szCs w:val="22"/>
        </w:rPr>
      </w:pPr>
      <w:r w:rsidDel="00000000" w:rsidR="00000000" w:rsidRPr="00000000">
        <w:rPr>
          <w:color w:val="24292f"/>
          <w:rtl w:val="0"/>
        </w:rPr>
        <w:t xml:space="preserve">Usuarios y contraseñas para pruebas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Weekly meetings con cliente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Insumos (tarjetas de crédito de pruebas)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Riesgos.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20" w:lineRule="auto"/>
        <w:ind w:left="720" w:hanging="360"/>
        <w:rPr>
          <w:color w:val="24292f"/>
          <w:sz w:val="15"/>
          <w:szCs w:val="15"/>
        </w:rPr>
      </w:pPr>
      <w:r w:rsidDel="00000000" w:rsidR="00000000" w:rsidRPr="00000000">
        <w:rPr>
          <w:color w:val="24292f"/>
          <w:rtl w:val="0"/>
        </w:rPr>
        <w:t xml:space="preserve">Integración de nuevo personal (cliente o developer team)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Desastre natural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rPr>
          <w:b w:val="1"/>
          <w:color w:val="24292f"/>
          <w:sz w:val="28"/>
          <w:szCs w:val="28"/>
        </w:rPr>
      </w:pPr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Supuestos.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20" w:lineRule="auto"/>
        <w:ind w:left="720" w:hanging="360"/>
        <w:rPr>
          <w:color w:val="24292f"/>
          <w:sz w:val="15"/>
          <w:szCs w:val="15"/>
        </w:rPr>
      </w:pPr>
      <w:r w:rsidDel="00000000" w:rsidR="00000000" w:rsidRPr="00000000">
        <w:rPr>
          <w:color w:val="24292f"/>
          <w:rtl w:val="0"/>
        </w:rPr>
        <w:t xml:space="preserve">Expected Deadlines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Delayed Deadlines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20" w:before="0" w:beforeAutospacing="0" w:lineRule="auto"/>
        <w:ind w:left="72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Ejecución del 85% del total de pruebas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