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A7745" w14:textId="77777777" w:rsidR="007054B1" w:rsidRPr="007054B1" w:rsidRDefault="007054B1" w:rsidP="007054B1">
      <w:pPr>
        <w:rPr>
          <w:b/>
          <w:bCs/>
        </w:rPr>
      </w:pPr>
      <w:r w:rsidRPr="007054B1">
        <w:rPr>
          <w:b/>
          <w:bCs/>
        </w:rPr>
        <w:t>Annual Technology Report 2024</w:t>
      </w:r>
    </w:p>
    <w:p w14:paraId="06EE8768" w14:textId="77777777" w:rsidR="007054B1" w:rsidRPr="007054B1" w:rsidRDefault="007054B1" w:rsidP="007054B1">
      <w:r w:rsidRPr="007054B1">
        <w:rPr>
          <w:b/>
          <w:bCs/>
        </w:rPr>
        <w:t>Prepared by:</w:t>
      </w:r>
      <w:r w:rsidRPr="007054B1">
        <w:t xml:space="preserve"> Research and Development Team</w:t>
      </w:r>
      <w:r w:rsidRPr="007054B1">
        <w:br/>
      </w:r>
      <w:r w:rsidRPr="007054B1">
        <w:rPr>
          <w:b/>
          <w:bCs/>
        </w:rPr>
        <w:t>Date:</w:t>
      </w:r>
      <w:r w:rsidRPr="007054B1">
        <w:t xml:space="preserve"> March 15, 2024</w:t>
      </w:r>
      <w:r w:rsidRPr="007054B1">
        <w:br/>
      </w:r>
      <w:r w:rsidRPr="007054B1">
        <w:rPr>
          <w:b/>
          <w:bCs/>
        </w:rPr>
        <w:t>Classification:</w:t>
      </w:r>
      <w:r w:rsidRPr="007054B1">
        <w:t xml:space="preserve"> Internal Use Only</w:t>
      </w:r>
    </w:p>
    <w:p w14:paraId="07CD657F" w14:textId="77777777" w:rsidR="007054B1" w:rsidRPr="007054B1" w:rsidRDefault="007054B1" w:rsidP="007054B1">
      <w:pPr>
        <w:rPr>
          <w:b/>
          <w:bCs/>
        </w:rPr>
      </w:pPr>
      <w:r w:rsidRPr="007054B1">
        <w:rPr>
          <w:b/>
          <w:bCs/>
        </w:rPr>
        <w:t>Executive Summary</w:t>
      </w:r>
    </w:p>
    <w:p w14:paraId="6DBB5BE7" w14:textId="77777777" w:rsidR="007054B1" w:rsidRPr="007054B1" w:rsidRDefault="007054B1" w:rsidP="007054B1">
      <w:r w:rsidRPr="007054B1">
        <w:t>This comprehensive report analyzes the current state of emerging technologies and their potential impact on business operations over the next five years. Our research indicates significant opportunities in artificial intelligence, cloud computing, and sustainable technology solutions.</w:t>
      </w:r>
    </w:p>
    <w:p w14:paraId="47C1918C" w14:textId="77777777" w:rsidR="007054B1" w:rsidRPr="007054B1" w:rsidRDefault="007054B1" w:rsidP="007054B1">
      <w:pPr>
        <w:rPr>
          <w:b/>
          <w:bCs/>
        </w:rPr>
      </w:pPr>
      <w:r w:rsidRPr="007054B1">
        <w:rPr>
          <w:b/>
          <w:bCs/>
        </w:rPr>
        <w:t>Key Findings</w:t>
      </w:r>
    </w:p>
    <w:p w14:paraId="67F97F99" w14:textId="77777777" w:rsidR="007054B1" w:rsidRPr="007054B1" w:rsidRDefault="007054B1" w:rsidP="007054B1">
      <w:pPr>
        <w:numPr>
          <w:ilvl w:val="0"/>
          <w:numId w:val="2"/>
        </w:numPr>
      </w:pPr>
      <w:r w:rsidRPr="007054B1">
        <w:t>AI adoption increased by 340% across enterprise clients</w:t>
      </w:r>
    </w:p>
    <w:p w14:paraId="69A10551" w14:textId="77777777" w:rsidR="007054B1" w:rsidRPr="007054B1" w:rsidRDefault="007054B1" w:rsidP="007054B1">
      <w:pPr>
        <w:numPr>
          <w:ilvl w:val="0"/>
          <w:numId w:val="2"/>
        </w:numPr>
      </w:pPr>
      <w:r w:rsidRPr="007054B1">
        <w:t>Cloud migration projects showed 89% success rate</w:t>
      </w:r>
    </w:p>
    <w:p w14:paraId="6155F47A" w14:textId="77777777" w:rsidR="007054B1" w:rsidRPr="007054B1" w:rsidRDefault="007054B1" w:rsidP="007054B1">
      <w:pPr>
        <w:numPr>
          <w:ilvl w:val="0"/>
          <w:numId w:val="2"/>
        </w:numPr>
      </w:pPr>
      <w:r w:rsidRPr="007054B1">
        <w:t>Green technology investments yielded 23% cost savings</w:t>
      </w:r>
    </w:p>
    <w:p w14:paraId="3990D66B" w14:textId="77777777" w:rsidR="007054B1" w:rsidRPr="007054B1" w:rsidRDefault="007054B1" w:rsidP="007054B1">
      <w:pPr>
        <w:rPr>
          <w:b/>
          <w:bCs/>
        </w:rPr>
      </w:pPr>
      <w:r w:rsidRPr="007054B1">
        <w:rPr>
          <w:b/>
          <w:bCs/>
        </w:rPr>
        <w:t>Technology Trends Analysis</w:t>
      </w:r>
    </w:p>
    <w:p w14:paraId="047EA882" w14:textId="77777777" w:rsidR="007054B1" w:rsidRPr="007054B1" w:rsidRDefault="007054B1" w:rsidP="007054B1">
      <w:pPr>
        <w:rPr>
          <w:b/>
          <w:bCs/>
        </w:rPr>
      </w:pPr>
      <w:r w:rsidRPr="007054B1">
        <w:rPr>
          <w:b/>
          <w:bCs/>
        </w:rPr>
        <w:t>Artificial Intelligence and Machine Learning</w:t>
      </w:r>
    </w:p>
    <w:p w14:paraId="0A132A58" w14:textId="77777777" w:rsidR="007054B1" w:rsidRPr="007054B1" w:rsidRDefault="007054B1" w:rsidP="007054B1">
      <w:r w:rsidRPr="007054B1">
        <w:t>Artificial Intelligence has emerged as the dominant technology trend of 2024. Organizations are implementing AI solutions across multiple domains including customer service, predictive analytics, and automated decision-making processes.</w:t>
      </w:r>
    </w:p>
    <w:p w14:paraId="1C4C1E67" w14:textId="77777777" w:rsidR="007054B1" w:rsidRPr="007054B1" w:rsidRDefault="007054B1" w:rsidP="007054B1">
      <w:r w:rsidRPr="007054B1">
        <w:rPr>
          <w:b/>
          <w:bCs/>
        </w:rPr>
        <w:t>Benefits observed:</w:t>
      </w:r>
    </w:p>
    <w:p w14:paraId="2F37243E" w14:textId="77777777" w:rsidR="007054B1" w:rsidRPr="007054B1" w:rsidRDefault="007054B1" w:rsidP="007054B1">
      <w:pPr>
        <w:numPr>
          <w:ilvl w:val="0"/>
          <w:numId w:val="3"/>
        </w:numPr>
      </w:pPr>
      <w:r w:rsidRPr="007054B1">
        <w:t>Reduced operational costs by 35-50%</w:t>
      </w:r>
    </w:p>
    <w:p w14:paraId="71763BA8" w14:textId="77777777" w:rsidR="007054B1" w:rsidRPr="007054B1" w:rsidRDefault="007054B1" w:rsidP="007054B1">
      <w:pPr>
        <w:numPr>
          <w:ilvl w:val="0"/>
          <w:numId w:val="3"/>
        </w:numPr>
      </w:pPr>
      <w:r w:rsidRPr="007054B1">
        <w:t>Improved customer satisfaction scores by 28%</w:t>
      </w:r>
    </w:p>
    <w:p w14:paraId="5FDB93C4" w14:textId="77777777" w:rsidR="007054B1" w:rsidRPr="007054B1" w:rsidRDefault="007054B1" w:rsidP="007054B1">
      <w:pPr>
        <w:numPr>
          <w:ilvl w:val="0"/>
          <w:numId w:val="3"/>
        </w:numPr>
      </w:pPr>
      <w:r w:rsidRPr="007054B1">
        <w:t>Enhanced data processing capabilities</w:t>
      </w:r>
    </w:p>
    <w:p w14:paraId="05C0AA3C" w14:textId="77777777" w:rsidR="007054B1" w:rsidRPr="007054B1" w:rsidRDefault="007054B1" w:rsidP="007054B1">
      <w:pPr>
        <w:numPr>
          <w:ilvl w:val="0"/>
          <w:numId w:val="3"/>
        </w:numPr>
      </w:pPr>
      <w:r w:rsidRPr="007054B1">
        <w:t>Streamlined workflow automation</w:t>
      </w:r>
    </w:p>
    <w:p w14:paraId="4B4F8614" w14:textId="77777777" w:rsidR="007054B1" w:rsidRPr="007054B1" w:rsidRDefault="007054B1" w:rsidP="007054B1">
      <w:r w:rsidRPr="007054B1">
        <w:rPr>
          <w:b/>
          <w:bCs/>
        </w:rPr>
        <w:t>Challenges identified:</w:t>
      </w:r>
    </w:p>
    <w:p w14:paraId="44D795A4" w14:textId="77777777" w:rsidR="007054B1" w:rsidRPr="007054B1" w:rsidRDefault="007054B1" w:rsidP="007054B1">
      <w:pPr>
        <w:numPr>
          <w:ilvl w:val="0"/>
          <w:numId w:val="4"/>
        </w:numPr>
      </w:pPr>
      <w:r w:rsidRPr="007054B1">
        <w:t>Data privacy and security concerns</w:t>
      </w:r>
    </w:p>
    <w:p w14:paraId="1D948F65" w14:textId="77777777" w:rsidR="007054B1" w:rsidRPr="007054B1" w:rsidRDefault="007054B1" w:rsidP="007054B1">
      <w:pPr>
        <w:numPr>
          <w:ilvl w:val="0"/>
          <w:numId w:val="4"/>
        </w:numPr>
      </w:pPr>
      <w:r w:rsidRPr="007054B1">
        <w:t>Integration complexity with legacy systems</w:t>
      </w:r>
    </w:p>
    <w:p w14:paraId="674DCEDC" w14:textId="77777777" w:rsidR="007054B1" w:rsidRPr="007054B1" w:rsidRDefault="007054B1" w:rsidP="007054B1">
      <w:pPr>
        <w:numPr>
          <w:ilvl w:val="0"/>
          <w:numId w:val="4"/>
        </w:numPr>
      </w:pPr>
      <w:r w:rsidRPr="007054B1">
        <w:t>Skill gap in AI expertise</w:t>
      </w:r>
    </w:p>
    <w:p w14:paraId="2F05BE77" w14:textId="77777777" w:rsidR="007054B1" w:rsidRPr="007054B1" w:rsidRDefault="007054B1" w:rsidP="007054B1">
      <w:pPr>
        <w:numPr>
          <w:ilvl w:val="0"/>
          <w:numId w:val="4"/>
        </w:numPr>
      </w:pPr>
      <w:r w:rsidRPr="007054B1">
        <w:t>Regulatory compliance requirements</w:t>
      </w:r>
    </w:p>
    <w:p w14:paraId="0A68AE54" w14:textId="77777777" w:rsidR="007054B1" w:rsidRPr="007054B1" w:rsidRDefault="007054B1" w:rsidP="007054B1">
      <w:pPr>
        <w:rPr>
          <w:b/>
          <w:bCs/>
        </w:rPr>
      </w:pPr>
      <w:r w:rsidRPr="007054B1">
        <w:rPr>
          <w:b/>
          <w:bCs/>
        </w:rPr>
        <w:t>Cloud Computing Infrastructure</w:t>
      </w:r>
    </w:p>
    <w:p w14:paraId="6CF490D9" w14:textId="77777777" w:rsidR="007054B1" w:rsidRPr="007054B1" w:rsidRDefault="007054B1" w:rsidP="007054B1">
      <w:r w:rsidRPr="007054B1">
        <w:lastRenderedPageBreak/>
        <w:t>The shift toward cloud-first strategies continues to accelerate. Hybrid cloud architectures are becoming the preferred solution for enterprises seeking flexibility and scalability.</w:t>
      </w:r>
    </w:p>
    <w:p w14:paraId="7D65C7D8" w14:textId="77777777" w:rsidR="007054B1" w:rsidRPr="007054B1" w:rsidRDefault="007054B1" w:rsidP="007054B1">
      <w:r w:rsidRPr="007054B1">
        <w:rPr>
          <w:b/>
          <w:bCs/>
        </w:rPr>
        <w:t>Cloud Adoption Statistics:</w:t>
      </w:r>
    </w:p>
    <w:p w14:paraId="44B0A2C7" w14:textId="77777777" w:rsidR="007054B1" w:rsidRPr="007054B1" w:rsidRDefault="007054B1" w:rsidP="007054B1">
      <w:pPr>
        <w:numPr>
          <w:ilvl w:val="0"/>
          <w:numId w:val="5"/>
        </w:numPr>
      </w:pPr>
      <w:r w:rsidRPr="007054B1">
        <w:t>78% of companies have multi-cloud strategies</w:t>
      </w:r>
    </w:p>
    <w:p w14:paraId="47618921" w14:textId="77777777" w:rsidR="007054B1" w:rsidRPr="007054B1" w:rsidRDefault="007054B1" w:rsidP="007054B1">
      <w:pPr>
        <w:numPr>
          <w:ilvl w:val="0"/>
          <w:numId w:val="5"/>
        </w:numPr>
      </w:pPr>
      <w:r w:rsidRPr="007054B1">
        <w:t>Average cloud spending increased by 45% year-over-year</w:t>
      </w:r>
    </w:p>
    <w:p w14:paraId="03D692DB" w14:textId="77777777" w:rsidR="007054B1" w:rsidRPr="007054B1" w:rsidRDefault="007054B1" w:rsidP="007054B1">
      <w:pPr>
        <w:numPr>
          <w:ilvl w:val="0"/>
          <w:numId w:val="5"/>
        </w:numPr>
      </w:pPr>
      <w:r w:rsidRPr="007054B1">
        <w:t>92% report improved business agility</w:t>
      </w:r>
    </w:p>
    <w:p w14:paraId="59CC8332" w14:textId="77777777" w:rsidR="007054B1" w:rsidRPr="007054B1" w:rsidRDefault="007054B1" w:rsidP="007054B1">
      <w:pPr>
        <w:numPr>
          <w:ilvl w:val="0"/>
          <w:numId w:val="5"/>
        </w:numPr>
      </w:pPr>
      <w:r w:rsidRPr="007054B1">
        <w:t>Security incidents decreased by 31% with proper cloud implementation</w:t>
      </w:r>
    </w:p>
    <w:p w14:paraId="15D1F261" w14:textId="77777777" w:rsidR="007054B1" w:rsidRPr="007054B1" w:rsidRDefault="007054B1" w:rsidP="007054B1">
      <w:pPr>
        <w:rPr>
          <w:b/>
          <w:bCs/>
        </w:rPr>
      </w:pPr>
      <w:r w:rsidRPr="007054B1">
        <w:rPr>
          <w:b/>
          <w:bCs/>
        </w:rPr>
        <w:t>Sustainable Technology Solutions</w:t>
      </w:r>
    </w:p>
    <w:p w14:paraId="324C2537" w14:textId="77777777" w:rsidR="007054B1" w:rsidRPr="007054B1" w:rsidRDefault="007054B1" w:rsidP="007054B1">
      <w:r w:rsidRPr="007054B1">
        <w:t>Environmental consciousness is driving innovation in green technology. Companies are investing heavily in sustainable solutions to meet both regulatory requirements and consumer expectations.</w:t>
      </w:r>
    </w:p>
    <w:p w14:paraId="2E3C8EBE" w14:textId="77777777" w:rsidR="007054B1" w:rsidRPr="007054B1" w:rsidRDefault="007054B1" w:rsidP="007054B1">
      <w:pPr>
        <w:rPr>
          <w:b/>
          <w:bCs/>
        </w:rPr>
      </w:pPr>
      <w:r w:rsidRPr="007054B1">
        <w:rPr>
          <w:b/>
          <w:bCs/>
        </w:rPr>
        <w:t>Regional Market Analysis</w:t>
      </w:r>
    </w:p>
    <w:p w14:paraId="643CC7BE" w14:textId="77777777" w:rsidR="007054B1" w:rsidRPr="007054B1" w:rsidRDefault="007054B1" w:rsidP="007054B1">
      <w:pPr>
        <w:rPr>
          <w:b/>
          <w:bCs/>
        </w:rPr>
      </w:pPr>
      <w:r w:rsidRPr="007054B1">
        <w:rPr>
          <w:b/>
          <w:bCs/>
        </w:rPr>
        <w:t>North American Market</w:t>
      </w:r>
    </w:p>
    <w:p w14:paraId="0AC7B11F" w14:textId="77777777" w:rsidR="007054B1" w:rsidRPr="007054B1" w:rsidRDefault="007054B1" w:rsidP="007054B1">
      <w:r w:rsidRPr="007054B1">
        <w:t>The North American technology sector continues to lead in innovation and investment. Major developments include:</w:t>
      </w:r>
    </w:p>
    <w:p w14:paraId="29E2B7B9" w14:textId="77777777" w:rsidR="007054B1" w:rsidRPr="007054B1" w:rsidRDefault="007054B1" w:rsidP="007054B1">
      <w:pPr>
        <w:numPr>
          <w:ilvl w:val="0"/>
          <w:numId w:val="6"/>
        </w:numPr>
      </w:pPr>
      <w:r w:rsidRPr="007054B1">
        <w:t>Silicon Valley maintaining its position as the global tech hub</w:t>
      </w:r>
    </w:p>
    <w:p w14:paraId="79AEF64A" w14:textId="77777777" w:rsidR="007054B1" w:rsidRPr="007054B1" w:rsidRDefault="007054B1" w:rsidP="007054B1">
      <w:pPr>
        <w:numPr>
          <w:ilvl w:val="0"/>
          <w:numId w:val="6"/>
        </w:numPr>
      </w:pPr>
      <w:r w:rsidRPr="007054B1">
        <w:t>Increased government funding for quantum computing research</w:t>
      </w:r>
    </w:p>
    <w:p w14:paraId="482B7D07" w14:textId="77777777" w:rsidR="007054B1" w:rsidRPr="007054B1" w:rsidRDefault="007054B1" w:rsidP="007054B1">
      <w:pPr>
        <w:numPr>
          <w:ilvl w:val="0"/>
          <w:numId w:val="6"/>
        </w:numPr>
      </w:pPr>
      <w:r w:rsidRPr="007054B1">
        <w:t>Growing focus on cybersecurity solutions</w:t>
      </w:r>
    </w:p>
    <w:p w14:paraId="47685108" w14:textId="77777777" w:rsidR="007054B1" w:rsidRPr="007054B1" w:rsidRDefault="007054B1" w:rsidP="007054B1">
      <w:pPr>
        <w:numPr>
          <w:ilvl w:val="0"/>
          <w:numId w:val="6"/>
        </w:numPr>
      </w:pPr>
      <w:r w:rsidRPr="007054B1">
        <w:t>Expansion of 5G infrastructure nationwide</w:t>
      </w:r>
    </w:p>
    <w:p w14:paraId="07F9716F" w14:textId="77777777" w:rsidR="007054B1" w:rsidRPr="007054B1" w:rsidRDefault="007054B1" w:rsidP="007054B1">
      <w:pPr>
        <w:rPr>
          <w:b/>
          <w:bCs/>
        </w:rPr>
      </w:pPr>
      <w:r w:rsidRPr="007054B1">
        <w:rPr>
          <w:b/>
          <w:bCs/>
        </w:rPr>
        <w:t>European Market</w:t>
      </w:r>
    </w:p>
    <w:p w14:paraId="0781546B" w14:textId="77777777" w:rsidR="007054B1" w:rsidRPr="007054B1" w:rsidRDefault="007054B1" w:rsidP="007054B1">
      <w:r w:rsidRPr="007054B1">
        <w:t>European markets are emphasizing regulatory compliance and data protection. Key trends include:</w:t>
      </w:r>
    </w:p>
    <w:p w14:paraId="07903CFB" w14:textId="77777777" w:rsidR="007054B1" w:rsidRPr="007054B1" w:rsidRDefault="007054B1" w:rsidP="007054B1">
      <w:pPr>
        <w:numPr>
          <w:ilvl w:val="0"/>
          <w:numId w:val="7"/>
        </w:numPr>
      </w:pPr>
      <w:r w:rsidRPr="007054B1">
        <w:t>GDPR compliance driving privacy-focused solutions</w:t>
      </w:r>
    </w:p>
    <w:p w14:paraId="43800DD3" w14:textId="77777777" w:rsidR="007054B1" w:rsidRPr="007054B1" w:rsidRDefault="007054B1" w:rsidP="007054B1">
      <w:pPr>
        <w:numPr>
          <w:ilvl w:val="0"/>
          <w:numId w:val="7"/>
        </w:numPr>
      </w:pPr>
      <w:r w:rsidRPr="007054B1">
        <w:t>Investment in renewable energy technologies</w:t>
      </w:r>
    </w:p>
    <w:p w14:paraId="229F2AAD" w14:textId="77777777" w:rsidR="007054B1" w:rsidRPr="007054B1" w:rsidRDefault="007054B1" w:rsidP="007054B1">
      <w:pPr>
        <w:numPr>
          <w:ilvl w:val="0"/>
          <w:numId w:val="7"/>
        </w:numPr>
      </w:pPr>
      <w:r w:rsidRPr="007054B1">
        <w:t>Cross-border digital transformation initiatives</w:t>
      </w:r>
    </w:p>
    <w:p w14:paraId="4F34EC37" w14:textId="77777777" w:rsidR="007054B1" w:rsidRPr="007054B1" w:rsidRDefault="007054B1" w:rsidP="007054B1">
      <w:pPr>
        <w:numPr>
          <w:ilvl w:val="0"/>
          <w:numId w:val="7"/>
        </w:numPr>
      </w:pPr>
      <w:r w:rsidRPr="007054B1">
        <w:t>Growing fintech sector in London and Berlin</w:t>
      </w:r>
    </w:p>
    <w:p w14:paraId="3C56CAC1" w14:textId="77777777" w:rsidR="007054B1" w:rsidRPr="007054B1" w:rsidRDefault="007054B1" w:rsidP="007054B1">
      <w:pPr>
        <w:rPr>
          <w:b/>
          <w:bCs/>
        </w:rPr>
      </w:pPr>
      <w:r w:rsidRPr="007054B1">
        <w:rPr>
          <w:b/>
          <w:bCs/>
        </w:rPr>
        <w:t>Asia-Pacific Market</w:t>
      </w:r>
    </w:p>
    <w:p w14:paraId="68AD209B" w14:textId="77777777" w:rsidR="007054B1" w:rsidRPr="007054B1" w:rsidRDefault="007054B1" w:rsidP="007054B1">
      <w:r w:rsidRPr="007054B1">
        <w:t>The Asia-Pacific region shows remarkable growth in mobile technology and e-commerce platforms:</w:t>
      </w:r>
    </w:p>
    <w:p w14:paraId="54C8D9FC" w14:textId="77777777" w:rsidR="007054B1" w:rsidRPr="007054B1" w:rsidRDefault="007054B1" w:rsidP="007054B1">
      <w:pPr>
        <w:numPr>
          <w:ilvl w:val="0"/>
          <w:numId w:val="8"/>
        </w:numPr>
      </w:pPr>
      <w:r w:rsidRPr="007054B1">
        <w:t>Mobile-first application development</w:t>
      </w:r>
    </w:p>
    <w:p w14:paraId="385F862B" w14:textId="77777777" w:rsidR="007054B1" w:rsidRPr="007054B1" w:rsidRDefault="007054B1" w:rsidP="007054B1">
      <w:pPr>
        <w:numPr>
          <w:ilvl w:val="0"/>
          <w:numId w:val="8"/>
        </w:numPr>
      </w:pPr>
      <w:r w:rsidRPr="007054B1">
        <w:lastRenderedPageBreak/>
        <w:t>Rapid adoption of digital payment systems</w:t>
      </w:r>
    </w:p>
    <w:p w14:paraId="43AAEF7F" w14:textId="77777777" w:rsidR="007054B1" w:rsidRPr="007054B1" w:rsidRDefault="007054B1" w:rsidP="007054B1">
      <w:pPr>
        <w:numPr>
          <w:ilvl w:val="0"/>
          <w:numId w:val="8"/>
        </w:numPr>
      </w:pPr>
      <w:r w:rsidRPr="007054B1">
        <w:t>Manufacturing automation and robotics</w:t>
      </w:r>
    </w:p>
    <w:p w14:paraId="0FB2A6BE" w14:textId="77777777" w:rsidR="007054B1" w:rsidRPr="007054B1" w:rsidRDefault="007054B1" w:rsidP="007054B1">
      <w:pPr>
        <w:numPr>
          <w:ilvl w:val="0"/>
          <w:numId w:val="8"/>
        </w:numPr>
      </w:pPr>
      <w:r w:rsidRPr="007054B1">
        <w:t>Smart city development projects</w:t>
      </w:r>
    </w:p>
    <w:p w14:paraId="53B38510" w14:textId="77777777" w:rsidR="007054B1" w:rsidRPr="007054B1" w:rsidRDefault="007054B1" w:rsidP="007054B1">
      <w:pPr>
        <w:rPr>
          <w:b/>
          <w:bCs/>
        </w:rPr>
      </w:pPr>
      <w:r w:rsidRPr="007054B1">
        <w:rPr>
          <w:b/>
          <w:bCs/>
        </w:rPr>
        <w:t>Financial Performance Metrics</w:t>
      </w:r>
    </w:p>
    <w:p w14:paraId="29049FF0" w14:textId="77777777" w:rsidR="007054B1" w:rsidRPr="007054B1" w:rsidRDefault="007054B1" w:rsidP="007054B1">
      <w:pPr>
        <w:rPr>
          <w:b/>
          <w:bCs/>
        </w:rPr>
      </w:pPr>
      <w:r w:rsidRPr="007054B1">
        <w:rPr>
          <w:b/>
          <w:bCs/>
        </w:rPr>
        <w:t>Quarterly Revenue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194"/>
        <w:gridCol w:w="1487"/>
        <w:gridCol w:w="1583"/>
      </w:tblGrid>
      <w:tr w:rsidR="007054B1" w:rsidRPr="007054B1" w14:paraId="1ACFD487" w14:textId="77777777">
        <w:trPr>
          <w:tblHeader/>
          <w:tblCellSpacing w:w="15" w:type="dxa"/>
        </w:trPr>
        <w:tc>
          <w:tcPr>
            <w:tcW w:w="0" w:type="auto"/>
            <w:vAlign w:val="center"/>
            <w:hideMark/>
          </w:tcPr>
          <w:p w14:paraId="31788DF5" w14:textId="77777777" w:rsidR="007054B1" w:rsidRPr="007054B1" w:rsidRDefault="007054B1" w:rsidP="007054B1">
            <w:pPr>
              <w:rPr>
                <w:b/>
                <w:bCs/>
              </w:rPr>
            </w:pPr>
            <w:r w:rsidRPr="007054B1">
              <w:rPr>
                <w:b/>
                <w:bCs/>
              </w:rPr>
              <w:t>Quarter</w:t>
            </w:r>
          </w:p>
        </w:tc>
        <w:tc>
          <w:tcPr>
            <w:tcW w:w="0" w:type="auto"/>
            <w:vAlign w:val="center"/>
            <w:hideMark/>
          </w:tcPr>
          <w:p w14:paraId="78EACCB0" w14:textId="77777777" w:rsidR="007054B1" w:rsidRPr="007054B1" w:rsidRDefault="007054B1" w:rsidP="007054B1">
            <w:pPr>
              <w:rPr>
                <w:b/>
                <w:bCs/>
              </w:rPr>
            </w:pPr>
            <w:r w:rsidRPr="007054B1">
              <w:rPr>
                <w:b/>
                <w:bCs/>
              </w:rPr>
              <w:t>Revenue (millions)</w:t>
            </w:r>
          </w:p>
        </w:tc>
        <w:tc>
          <w:tcPr>
            <w:tcW w:w="0" w:type="auto"/>
            <w:vAlign w:val="center"/>
            <w:hideMark/>
          </w:tcPr>
          <w:p w14:paraId="62BB7039" w14:textId="77777777" w:rsidR="007054B1" w:rsidRPr="007054B1" w:rsidRDefault="007054B1" w:rsidP="007054B1">
            <w:pPr>
              <w:rPr>
                <w:b/>
                <w:bCs/>
              </w:rPr>
            </w:pPr>
            <w:r w:rsidRPr="007054B1">
              <w:rPr>
                <w:b/>
                <w:bCs/>
              </w:rPr>
              <w:t>Growth Rate</w:t>
            </w:r>
          </w:p>
        </w:tc>
        <w:tc>
          <w:tcPr>
            <w:tcW w:w="0" w:type="auto"/>
            <w:vAlign w:val="center"/>
            <w:hideMark/>
          </w:tcPr>
          <w:p w14:paraId="4BCD3750" w14:textId="77777777" w:rsidR="007054B1" w:rsidRPr="007054B1" w:rsidRDefault="007054B1" w:rsidP="007054B1">
            <w:pPr>
              <w:rPr>
                <w:b/>
                <w:bCs/>
              </w:rPr>
            </w:pPr>
            <w:r w:rsidRPr="007054B1">
              <w:rPr>
                <w:b/>
                <w:bCs/>
              </w:rPr>
              <w:t>Market Share</w:t>
            </w:r>
          </w:p>
        </w:tc>
      </w:tr>
      <w:tr w:rsidR="007054B1" w:rsidRPr="007054B1" w14:paraId="05E42896" w14:textId="77777777">
        <w:trPr>
          <w:tblCellSpacing w:w="15" w:type="dxa"/>
        </w:trPr>
        <w:tc>
          <w:tcPr>
            <w:tcW w:w="0" w:type="auto"/>
            <w:vAlign w:val="center"/>
            <w:hideMark/>
          </w:tcPr>
          <w:p w14:paraId="3218F811" w14:textId="77777777" w:rsidR="007054B1" w:rsidRPr="007054B1" w:rsidRDefault="007054B1" w:rsidP="007054B1">
            <w:r w:rsidRPr="007054B1">
              <w:t>Q1 2024</w:t>
            </w:r>
          </w:p>
        </w:tc>
        <w:tc>
          <w:tcPr>
            <w:tcW w:w="0" w:type="auto"/>
            <w:vAlign w:val="center"/>
            <w:hideMark/>
          </w:tcPr>
          <w:p w14:paraId="02F1606C" w14:textId="77777777" w:rsidR="007054B1" w:rsidRPr="007054B1" w:rsidRDefault="007054B1" w:rsidP="007054B1">
            <w:r w:rsidRPr="007054B1">
              <w:t>$125.7</w:t>
            </w:r>
          </w:p>
        </w:tc>
        <w:tc>
          <w:tcPr>
            <w:tcW w:w="0" w:type="auto"/>
            <w:vAlign w:val="center"/>
            <w:hideMark/>
          </w:tcPr>
          <w:p w14:paraId="010CC436" w14:textId="77777777" w:rsidR="007054B1" w:rsidRPr="007054B1" w:rsidRDefault="007054B1" w:rsidP="007054B1">
            <w:r w:rsidRPr="007054B1">
              <w:t>12.3%</w:t>
            </w:r>
          </w:p>
        </w:tc>
        <w:tc>
          <w:tcPr>
            <w:tcW w:w="0" w:type="auto"/>
            <w:vAlign w:val="center"/>
            <w:hideMark/>
          </w:tcPr>
          <w:p w14:paraId="61D00F34" w14:textId="77777777" w:rsidR="007054B1" w:rsidRPr="007054B1" w:rsidRDefault="007054B1" w:rsidP="007054B1">
            <w:r w:rsidRPr="007054B1">
              <w:t>18.5%</w:t>
            </w:r>
          </w:p>
        </w:tc>
      </w:tr>
      <w:tr w:rsidR="007054B1" w:rsidRPr="007054B1" w14:paraId="3508CB22" w14:textId="77777777">
        <w:trPr>
          <w:tblCellSpacing w:w="15" w:type="dxa"/>
        </w:trPr>
        <w:tc>
          <w:tcPr>
            <w:tcW w:w="0" w:type="auto"/>
            <w:vAlign w:val="center"/>
            <w:hideMark/>
          </w:tcPr>
          <w:p w14:paraId="1CF5BC0A" w14:textId="77777777" w:rsidR="007054B1" w:rsidRPr="007054B1" w:rsidRDefault="007054B1" w:rsidP="007054B1">
            <w:r w:rsidRPr="007054B1">
              <w:t>Q2 2024</w:t>
            </w:r>
          </w:p>
        </w:tc>
        <w:tc>
          <w:tcPr>
            <w:tcW w:w="0" w:type="auto"/>
            <w:vAlign w:val="center"/>
            <w:hideMark/>
          </w:tcPr>
          <w:p w14:paraId="1A3B924B" w14:textId="77777777" w:rsidR="007054B1" w:rsidRPr="007054B1" w:rsidRDefault="007054B1" w:rsidP="007054B1">
            <w:r w:rsidRPr="007054B1">
              <w:t>$138.2</w:t>
            </w:r>
          </w:p>
        </w:tc>
        <w:tc>
          <w:tcPr>
            <w:tcW w:w="0" w:type="auto"/>
            <w:vAlign w:val="center"/>
            <w:hideMark/>
          </w:tcPr>
          <w:p w14:paraId="7A6805BC" w14:textId="77777777" w:rsidR="007054B1" w:rsidRPr="007054B1" w:rsidRDefault="007054B1" w:rsidP="007054B1">
            <w:r w:rsidRPr="007054B1">
              <w:t>9.9%</w:t>
            </w:r>
          </w:p>
        </w:tc>
        <w:tc>
          <w:tcPr>
            <w:tcW w:w="0" w:type="auto"/>
            <w:vAlign w:val="center"/>
            <w:hideMark/>
          </w:tcPr>
          <w:p w14:paraId="03B0E9DF" w14:textId="77777777" w:rsidR="007054B1" w:rsidRPr="007054B1" w:rsidRDefault="007054B1" w:rsidP="007054B1">
            <w:r w:rsidRPr="007054B1">
              <w:t>19.1%</w:t>
            </w:r>
          </w:p>
        </w:tc>
      </w:tr>
      <w:tr w:rsidR="007054B1" w:rsidRPr="007054B1" w14:paraId="5ABD642F" w14:textId="77777777">
        <w:trPr>
          <w:tblCellSpacing w:w="15" w:type="dxa"/>
        </w:trPr>
        <w:tc>
          <w:tcPr>
            <w:tcW w:w="0" w:type="auto"/>
            <w:vAlign w:val="center"/>
            <w:hideMark/>
          </w:tcPr>
          <w:p w14:paraId="2D6596E4" w14:textId="77777777" w:rsidR="007054B1" w:rsidRPr="007054B1" w:rsidRDefault="007054B1" w:rsidP="007054B1">
            <w:r w:rsidRPr="007054B1">
              <w:t>Q3 2024</w:t>
            </w:r>
          </w:p>
        </w:tc>
        <w:tc>
          <w:tcPr>
            <w:tcW w:w="0" w:type="auto"/>
            <w:vAlign w:val="center"/>
            <w:hideMark/>
          </w:tcPr>
          <w:p w14:paraId="2D5A83DE" w14:textId="77777777" w:rsidR="007054B1" w:rsidRPr="007054B1" w:rsidRDefault="007054B1" w:rsidP="007054B1">
            <w:r w:rsidRPr="007054B1">
              <w:t>$151.6</w:t>
            </w:r>
          </w:p>
        </w:tc>
        <w:tc>
          <w:tcPr>
            <w:tcW w:w="0" w:type="auto"/>
            <w:vAlign w:val="center"/>
            <w:hideMark/>
          </w:tcPr>
          <w:p w14:paraId="0481A9BA" w14:textId="77777777" w:rsidR="007054B1" w:rsidRPr="007054B1" w:rsidRDefault="007054B1" w:rsidP="007054B1">
            <w:r w:rsidRPr="007054B1">
              <w:t>9.7%</w:t>
            </w:r>
          </w:p>
        </w:tc>
        <w:tc>
          <w:tcPr>
            <w:tcW w:w="0" w:type="auto"/>
            <w:vAlign w:val="center"/>
            <w:hideMark/>
          </w:tcPr>
          <w:p w14:paraId="7D590262" w14:textId="77777777" w:rsidR="007054B1" w:rsidRPr="007054B1" w:rsidRDefault="007054B1" w:rsidP="007054B1">
            <w:r w:rsidRPr="007054B1">
              <w:t>19.8%</w:t>
            </w:r>
          </w:p>
        </w:tc>
      </w:tr>
      <w:tr w:rsidR="007054B1" w:rsidRPr="007054B1" w14:paraId="7A7896BB" w14:textId="77777777">
        <w:trPr>
          <w:tblCellSpacing w:w="15" w:type="dxa"/>
        </w:trPr>
        <w:tc>
          <w:tcPr>
            <w:tcW w:w="0" w:type="auto"/>
            <w:vAlign w:val="center"/>
            <w:hideMark/>
          </w:tcPr>
          <w:p w14:paraId="2EB93F35" w14:textId="77777777" w:rsidR="007054B1" w:rsidRPr="007054B1" w:rsidRDefault="007054B1" w:rsidP="007054B1">
            <w:r w:rsidRPr="007054B1">
              <w:t>Q4 2024</w:t>
            </w:r>
          </w:p>
        </w:tc>
        <w:tc>
          <w:tcPr>
            <w:tcW w:w="0" w:type="auto"/>
            <w:vAlign w:val="center"/>
            <w:hideMark/>
          </w:tcPr>
          <w:p w14:paraId="13BAAFD2" w14:textId="77777777" w:rsidR="007054B1" w:rsidRPr="007054B1" w:rsidRDefault="007054B1" w:rsidP="007054B1">
            <w:r w:rsidRPr="007054B1">
              <w:t>$167.3</w:t>
            </w:r>
          </w:p>
        </w:tc>
        <w:tc>
          <w:tcPr>
            <w:tcW w:w="0" w:type="auto"/>
            <w:vAlign w:val="center"/>
            <w:hideMark/>
          </w:tcPr>
          <w:p w14:paraId="7BF7BD6A" w14:textId="77777777" w:rsidR="007054B1" w:rsidRPr="007054B1" w:rsidRDefault="007054B1" w:rsidP="007054B1">
            <w:r w:rsidRPr="007054B1">
              <w:t>10.4%</w:t>
            </w:r>
          </w:p>
        </w:tc>
        <w:tc>
          <w:tcPr>
            <w:tcW w:w="0" w:type="auto"/>
            <w:vAlign w:val="center"/>
            <w:hideMark/>
          </w:tcPr>
          <w:p w14:paraId="6A2A7933" w14:textId="77777777" w:rsidR="007054B1" w:rsidRPr="007054B1" w:rsidRDefault="007054B1" w:rsidP="007054B1">
            <w:r w:rsidRPr="007054B1">
              <w:t>20.3%</w:t>
            </w:r>
          </w:p>
        </w:tc>
      </w:tr>
    </w:tbl>
    <w:p w14:paraId="7F3B71C6" w14:textId="77777777" w:rsidR="007054B1" w:rsidRPr="007054B1" w:rsidRDefault="007054B1" w:rsidP="007054B1">
      <w:pPr>
        <w:rPr>
          <w:b/>
          <w:bCs/>
        </w:rPr>
      </w:pPr>
      <w:r w:rsidRPr="007054B1">
        <w:rPr>
          <w:b/>
          <w:bCs/>
        </w:rPr>
        <w:t>Investment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2292"/>
        <w:gridCol w:w="1354"/>
        <w:gridCol w:w="1636"/>
      </w:tblGrid>
      <w:tr w:rsidR="007054B1" w:rsidRPr="007054B1" w14:paraId="55F8F445" w14:textId="77777777">
        <w:trPr>
          <w:tblHeader/>
          <w:tblCellSpacing w:w="15" w:type="dxa"/>
        </w:trPr>
        <w:tc>
          <w:tcPr>
            <w:tcW w:w="0" w:type="auto"/>
            <w:vAlign w:val="center"/>
            <w:hideMark/>
          </w:tcPr>
          <w:p w14:paraId="2688C439" w14:textId="77777777" w:rsidR="007054B1" w:rsidRPr="007054B1" w:rsidRDefault="007054B1" w:rsidP="007054B1">
            <w:pPr>
              <w:rPr>
                <w:b/>
                <w:bCs/>
              </w:rPr>
            </w:pPr>
            <w:r w:rsidRPr="007054B1">
              <w:rPr>
                <w:b/>
                <w:bCs/>
              </w:rPr>
              <w:t>Technology Area</w:t>
            </w:r>
          </w:p>
        </w:tc>
        <w:tc>
          <w:tcPr>
            <w:tcW w:w="0" w:type="auto"/>
            <w:vAlign w:val="center"/>
            <w:hideMark/>
          </w:tcPr>
          <w:p w14:paraId="67DC8BF5" w14:textId="77777777" w:rsidR="007054B1" w:rsidRPr="007054B1" w:rsidRDefault="007054B1" w:rsidP="007054B1">
            <w:pPr>
              <w:rPr>
                <w:b/>
                <w:bCs/>
              </w:rPr>
            </w:pPr>
            <w:r w:rsidRPr="007054B1">
              <w:rPr>
                <w:b/>
                <w:bCs/>
              </w:rPr>
              <w:t>Investment Amount</w:t>
            </w:r>
          </w:p>
        </w:tc>
        <w:tc>
          <w:tcPr>
            <w:tcW w:w="0" w:type="auto"/>
            <w:vAlign w:val="center"/>
            <w:hideMark/>
          </w:tcPr>
          <w:p w14:paraId="12F21A43" w14:textId="77777777" w:rsidR="007054B1" w:rsidRPr="007054B1" w:rsidRDefault="007054B1" w:rsidP="007054B1">
            <w:pPr>
              <w:rPr>
                <w:b/>
                <w:bCs/>
              </w:rPr>
            </w:pPr>
            <w:r w:rsidRPr="007054B1">
              <w:rPr>
                <w:b/>
                <w:bCs/>
              </w:rPr>
              <w:t>Percentage</w:t>
            </w:r>
          </w:p>
        </w:tc>
        <w:tc>
          <w:tcPr>
            <w:tcW w:w="0" w:type="auto"/>
            <w:vAlign w:val="center"/>
            <w:hideMark/>
          </w:tcPr>
          <w:p w14:paraId="6CE63129" w14:textId="77777777" w:rsidR="007054B1" w:rsidRPr="007054B1" w:rsidRDefault="007054B1" w:rsidP="007054B1">
            <w:pPr>
              <w:rPr>
                <w:b/>
                <w:bCs/>
              </w:rPr>
            </w:pPr>
            <w:r w:rsidRPr="007054B1">
              <w:rPr>
                <w:b/>
                <w:bCs/>
              </w:rPr>
              <w:t>ROI Expected</w:t>
            </w:r>
          </w:p>
        </w:tc>
      </w:tr>
      <w:tr w:rsidR="007054B1" w:rsidRPr="007054B1" w14:paraId="6032066F" w14:textId="77777777">
        <w:trPr>
          <w:tblCellSpacing w:w="15" w:type="dxa"/>
        </w:trPr>
        <w:tc>
          <w:tcPr>
            <w:tcW w:w="0" w:type="auto"/>
            <w:vAlign w:val="center"/>
            <w:hideMark/>
          </w:tcPr>
          <w:p w14:paraId="4ABFD701" w14:textId="77777777" w:rsidR="007054B1" w:rsidRPr="007054B1" w:rsidRDefault="007054B1" w:rsidP="007054B1">
            <w:r w:rsidRPr="007054B1">
              <w:t>Artificial Intelligence</w:t>
            </w:r>
          </w:p>
        </w:tc>
        <w:tc>
          <w:tcPr>
            <w:tcW w:w="0" w:type="auto"/>
            <w:vAlign w:val="center"/>
            <w:hideMark/>
          </w:tcPr>
          <w:p w14:paraId="3CA81655" w14:textId="77777777" w:rsidR="007054B1" w:rsidRPr="007054B1" w:rsidRDefault="007054B1" w:rsidP="007054B1">
            <w:r w:rsidRPr="007054B1">
              <w:t>$45.2M</w:t>
            </w:r>
          </w:p>
        </w:tc>
        <w:tc>
          <w:tcPr>
            <w:tcW w:w="0" w:type="auto"/>
            <w:vAlign w:val="center"/>
            <w:hideMark/>
          </w:tcPr>
          <w:p w14:paraId="176D93F9" w14:textId="77777777" w:rsidR="007054B1" w:rsidRPr="007054B1" w:rsidRDefault="007054B1" w:rsidP="007054B1">
            <w:r w:rsidRPr="007054B1">
              <w:t>35%</w:t>
            </w:r>
          </w:p>
        </w:tc>
        <w:tc>
          <w:tcPr>
            <w:tcW w:w="0" w:type="auto"/>
            <w:vAlign w:val="center"/>
            <w:hideMark/>
          </w:tcPr>
          <w:p w14:paraId="61D269CF" w14:textId="77777777" w:rsidR="007054B1" w:rsidRPr="007054B1" w:rsidRDefault="007054B1" w:rsidP="007054B1">
            <w:r w:rsidRPr="007054B1">
              <w:t>250%</w:t>
            </w:r>
          </w:p>
        </w:tc>
      </w:tr>
      <w:tr w:rsidR="007054B1" w:rsidRPr="007054B1" w14:paraId="6A7BD129" w14:textId="77777777">
        <w:trPr>
          <w:tblCellSpacing w:w="15" w:type="dxa"/>
        </w:trPr>
        <w:tc>
          <w:tcPr>
            <w:tcW w:w="0" w:type="auto"/>
            <w:vAlign w:val="center"/>
            <w:hideMark/>
          </w:tcPr>
          <w:p w14:paraId="7A2DC12A" w14:textId="77777777" w:rsidR="007054B1" w:rsidRPr="007054B1" w:rsidRDefault="007054B1" w:rsidP="007054B1">
            <w:r w:rsidRPr="007054B1">
              <w:t>Cloud Infrastructure</w:t>
            </w:r>
          </w:p>
        </w:tc>
        <w:tc>
          <w:tcPr>
            <w:tcW w:w="0" w:type="auto"/>
            <w:vAlign w:val="center"/>
            <w:hideMark/>
          </w:tcPr>
          <w:p w14:paraId="4858573A" w14:textId="77777777" w:rsidR="007054B1" w:rsidRPr="007054B1" w:rsidRDefault="007054B1" w:rsidP="007054B1">
            <w:r w:rsidRPr="007054B1">
              <w:t>$32.8M</w:t>
            </w:r>
          </w:p>
        </w:tc>
        <w:tc>
          <w:tcPr>
            <w:tcW w:w="0" w:type="auto"/>
            <w:vAlign w:val="center"/>
            <w:hideMark/>
          </w:tcPr>
          <w:p w14:paraId="0017265D" w14:textId="77777777" w:rsidR="007054B1" w:rsidRPr="007054B1" w:rsidRDefault="007054B1" w:rsidP="007054B1">
            <w:r w:rsidRPr="007054B1">
              <w:t>25%</w:t>
            </w:r>
          </w:p>
        </w:tc>
        <w:tc>
          <w:tcPr>
            <w:tcW w:w="0" w:type="auto"/>
            <w:vAlign w:val="center"/>
            <w:hideMark/>
          </w:tcPr>
          <w:p w14:paraId="13276C8B" w14:textId="77777777" w:rsidR="007054B1" w:rsidRPr="007054B1" w:rsidRDefault="007054B1" w:rsidP="007054B1">
            <w:r w:rsidRPr="007054B1">
              <w:t>180%</w:t>
            </w:r>
          </w:p>
        </w:tc>
      </w:tr>
      <w:tr w:rsidR="007054B1" w:rsidRPr="007054B1" w14:paraId="5F957D01" w14:textId="77777777">
        <w:trPr>
          <w:tblCellSpacing w:w="15" w:type="dxa"/>
        </w:trPr>
        <w:tc>
          <w:tcPr>
            <w:tcW w:w="0" w:type="auto"/>
            <w:vAlign w:val="center"/>
            <w:hideMark/>
          </w:tcPr>
          <w:p w14:paraId="2B13F006" w14:textId="77777777" w:rsidR="007054B1" w:rsidRPr="007054B1" w:rsidRDefault="007054B1" w:rsidP="007054B1">
            <w:r w:rsidRPr="007054B1">
              <w:t>Cybersecurity</w:t>
            </w:r>
          </w:p>
        </w:tc>
        <w:tc>
          <w:tcPr>
            <w:tcW w:w="0" w:type="auto"/>
            <w:vAlign w:val="center"/>
            <w:hideMark/>
          </w:tcPr>
          <w:p w14:paraId="36EBED8C" w14:textId="77777777" w:rsidR="007054B1" w:rsidRPr="007054B1" w:rsidRDefault="007054B1" w:rsidP="007054B1">
            <w:r w:rsidRPr="007054B1">
              <w:t>$26.1M</w:t>
            </w:r>
          </w:p>
        </w:tc>
        <w:tc>
          <w:tcPr>
            <w:tcW w:w="0" w:type="auto"/>
            <w:vAlign w:val="center"/>
            <w:hideMark/>
          </w:tcPr>
          <w:p w14:paraId="1404E5C2" w14:textId="77777777" w:rsidR="007054B1" w:rsidRPr="007054B1" w:rsidRDefault="007054B1" w:rsidP="007054B1">
            <w:r w:rsidRPr="007054B1">
              <w:t>20%</w:t>
            </w:r>
          </w:p>
        </w:tc>
        <w:tc>
          <w:tcPr>
            <w:tcW w:w="0" w:type="auto"/>
            <w:vAlign w:val="center"/>
            <w:hideMark/>
          </w:tcPr>
          <w:p w14:paraId="1AEF0B69" w14:textId="77777777" w:rsidR="007054B1" w:rsidRPr="007054B1" w:rsidRDefault="007054B1" w:rsidP="007054B1">
            <w:r w:rsidRPr="007054B1">
              <w:t>200%</w:t>
            </w:r>
          </w:p>
        </w:tc>
      </w:tr>
      <w:tr w:rsidR="007054B1" w:rsidRPr="007054B1" w14:paraId="73B4503D" w14:textId="77777777">
        <w:trPr>
          <w:tblCellSpacing w:w="15" w:type="dxa"/>
        </w:trPr>
        <w:tc>
          <w:tcPr>
            <w:tcW w:w="0" w:type="auto"/>
            <w:vAlign w:val="center"/>
            <w:hideMark/>
          </w:tcPr>
          <w:p w14:paraId="04E9829B" w14:textId="77777777" w:rsidR="007054B1" w:rsidRPr="007054B1" w:rsidRDefault="007054B1" w:rsidP="007054B1">
            <w:r w:rsidRPr="007054B1">
              <w:t>Green Technology</w:t>
            </w:r>
          </w:p>
        </w:tc>
        <w:tc>
          <w:tcPr>
            <w:tcW w:w="0" w:type="auto"/>
            <w:vAlign w:val="center"/>
            <w:hideMark/>
          </w:tcPr>
          <w:p w14:paraId="0D4435B9" w14:textId="77777777" w:rsidR="007054B1" w:rsidRPr="007054B1" w:rsidRDefault="007054B1" w:rsidP="007054B1">
            <w:r w:rsidRPr="007054B1">
              <w:t>$19.6M</w:t>
            </w:r>
          </w:p>
        </w:tc>
        <w:tc>
          <w:tcPr>
            <w:tcW w:w="0" w:type="auto"/>
            <w:vAlign w:val="center"/>
            <w:hideMark/>
          </w:tcPr>
          <w:p w14:paraId="0CCDC3A4" w14:textId="77777777" w:rsidR="007054B1" w:rsidRPr="007054B1" w:rsidRDefault="007054B1" w:rsidP="007054B1">
            <w:r w:rsidRPr="007054B1">
              <w:t>15%</w:t>
            </w:r>
          </w:p>
        </w:tc>
        <w:tc>
          <w:tcPr>
            <w:tcW w:w="0" w:type="auto"/>
            <w:vAlign w:val="center"/>
            <w:hideMark/>
          </w:tcPr>
          <w:p w14:paraId="4CD71E5A" w14:textId="77777777" w:rsidR="007054B1" w:rsidRPr="007054B1" w:rsidRDefault="007054B1" w:rsidP="007054B1">
            <w:r w:rsidRPr="007054B1">
              <w:t>150%</w:t>
            </w:r>
          </w:p>
        </w:tc>
      </w:tr>
      <w:tr w:rsidR="007054B1" w:rsidRPr="007054B1" w14:paraId="2A25A86F" w14:textId="77777777">
        <w:trPr>
          <w:tblCellSpacing w:w="15" w:type="dxa"/>
        </w:trPr>
        <w:tc>
          <w:tcPr>
            <w:tcW w:w="0" w:type="auto"/>
            <w:vAlign w:val="center"/>
            <w:hideMark/>
          </w:tcPr>
          <w:p w14:paraId="6777236D" w14:textId="77777777" w:rsidR="007054B1" w:rsidRPr="007054B1" w:rsidRDefault="007054B1" w:rsidP="007054B1">
            <w:r w:rsidRPr="007054B1">
              <w:t>Other Initiatives</w:t>
            </w:r>
          </w:p>
        </w:tc>
        <w:tc>
          <w:tcPr>
            <w:tcW w:w="0" w:type="auto"/>
            <w:vAlign w:val="center"/>
            <w:hideMark/>
          </w:tcPr>
          <w:p w14:paraId="609702C2" w14:textId="77777777" w:rsidR="007054B1" w:rsidRPr="007054B1" w:rsidRDefault="007054B1" w:rsidP="007054B1">
            <w:r w:rsidRPr="007054B1">
              <w:t>$6.5M</w:t>
            </w:r>
          </w:p>
        </w:tc>
        <w:tc>
          <w:tcPr>
            <w:tcW w:w="0" w:type="auto"/>
            <w:vAlign w:val="center"/>
            <w:hideMark/>
          </w:tcPr>
          <w:p w14:paraId="1C51B77A" w14:textId="77777777" w:rsidR="007054B1" w:rsidRPr="007054B1" w:rsidRDefault="007054B1" w:rsidP="007054B1">
            <w:r w:rsidRPr="007054B1">
              <w:t>5%</w:t>
            </w:r>
          </w:p>
        </w:tc>
        <w:tc>
          <w:tcPr>
            <w:tcW w:w="0" w:type="auto"/>
            <w:vAlign w:val="center"/>
            <w:hideMark/>
          </w:tcPr>
          <w:p w14:paraId="05F8857C" w14:textId="77777777" w:rsidR="007054B1" w:rsidRPr="007054B1" w:rsidRDefault="007054B1" w:rsidP="007054B1">
            <w:r w:rsidRPr="007054B1">
              <w:t>120%</w:t>
            </w:r>
          </w:p>
        </w:tc>
      </w:tr>
    </w:tbl>
    <w:p w14:paraId="01BB819F" w14:textId="77777777" w:rsidR="007054B1" w:rsidRPr="007054B1" w:rsidRDefault="007054B1" w:rsidP="007054B1">
      <w:pPr>
        <w:rPr>
          <w:b/>
          <w:bCs/>
        </w:rPr>
      </w:pPr>
      <w:r w:rsidRPr="007054B1">
        <w:rPr>
          <w:b/>
          <w:bCs/>
        </w:rPr>
        <w:t>Future Recommendations</w:t>
      </w:r>
    </w:p>
    <w:p w14:paraId="11685554" w14:textId="77777777" w:rsidR="007054B1" w:rsidRPr="007054B1" w:rsidRDefault="007054B1" w:rsidP="007054B1">
      <w:r w:rsidRPr="007054B1">
        <w:t>Based on our comprehensive analysis, we recommend the following strategic initiatives for the coming fiscal year:</w:t>
      </w:r>
    </w:p>
    <w:p w14:paraId="6A9E4391" w14:textId="77777777" w:rsidR="007054B1" w:rsidRPr="007054B1" w:rsidRDefault="007054B1" w:rsidP="007054B1">
      <w:pPr>
        <w:rPr>
          <w:b/>
          <w:bCs/>
        </w:rPr>
      </w:pPr>
      <w:r w:rsidRPr="007054B1">
        <w:rPr>
          <w:b/>
          <w:bCs/>
        </w:rPr>
        <w:t>Short-term Goals (6-12 months)</w:t>
      </w:r>
    </w:p>
    <w:p w14:paraId="54931087" w14:textId="77777777" w:rsidR="007054B1" w:rsidRPr="007054B1" w:rsidRDefault="007054B1" w:rsidP="007054B1">
      <w:pPr>
        <w:numPr>
          <w:ilvl w:val="0"/>
          <w:numId w:val="9"/>
        </w:numPr>
      </w:pPr>
      <w:r w:rsidRPr="007054B1">
        <w:rPr>
          <w:b/>
          <w:bCs/>
        </w:rPr>
        <w:t>Accelerate AI Integration</w:t>
      </w:r>
      <w:r w:rsidRPr="007054B1">
        <w:t>: Implement AI-powered analytics across all business units</w:t>
      </w:r>
    </w:p>
    <w:p w14:paraId="28EDF8BD" w14:textId="77777777" w:rsidR="007054B1" w:rsidRPr="007054B1" w:rsidRDefault="007054B1" w:rsidP="007054B1">
      <w:pPr>
        <w:numPr>
          <w:ilvl w:val="0"/>
          <w:numId w:val="9"/>
        </w:numPr>
      </w:pPr>
      <w:r w:rsidRPr="007054B1">
        <w:rPr>
          <w:b/>
          <w:bCs/>
        </w:rPr>
        <w:t>Enhance Cybersecurity</w:t>
      </w:r>
      <w:r w:rsidRPr="007054B1">
        <w:t>: Deploy advanced threat detection systems</w:t>
      </w:r>
    </w:p>
    <w:p w14:paraId="4C6C4180" w14:textId="77777777" w:rsidR="007054B1" w:rsidRPr="007054B1" w:rsidRDefault="007054B1" w:rsidP="007054B1">
      <w:pPr>
        <w:numPr>
          <w:ilvl w:val="0"/>
          <w:numId w:val="9"/>
        </w:numPr>
      </w:pPr>
      <w:r w:rsidRPr="007054B1">
        <w:rPr>
          <w:b/>
          <w:bCs/>
        </w:rPr>
        <w:t>Optimize Cloud Strategy</w:t>
      </w:r>
      <w:r w:rsidRPr="007054B1">
        <w:t>: Complete migration of legacy systems to hybrid cloud</w:t>
      </w:r>
    </w:p>
    <w:p w14:paraId="7019B958" w14:textId="77777777" w:rsidR="007054B1" w:rsidRPr="007054B1" w:rsidRDefault="007054B1" w:rsidP="007054B1">
      <w:pPr>
        <w:numPr>
          <w:ilvl w:val="0"/>
          <w:numId w:val="9"/>
        </w:numPr>
      </w:pPr>
      <w:r w:rsidRPr="007054B1">
        <w:rPr>
          <w:b/>
          <w:bCs/>
        </w:rPr>
        <w:t>Develop Talent Pipeline</w:t>
      </w:r>
      <w:r w:rsidRPr="007054B1">
        <w:t>: Launch comprehensive training programs for emerging technologies</w:t>
      </w:r>
    </w:p>
    <w:p w14:paraId="25E849C0" w14:textId="77777777" w:rsidR="007054B1" w:rsidRPr="007054B1" w:rsidRDefault="007054B1" w:rsidP="007054B1">
      <w:pPr>
        <w:rPr>
          <w:b/>
          <w:bCs/>
        </w:rPr>
      </w:pPr>
      <w:r w:rsidRPr="007054B1">
        <w:rPr>
          <w:b/>
          <w:bCs/>
        </w:rPr>
        <w:t>Medium-term Objectives (1-3 years)</w:t>
      </w:r>
    </w:p>
    <w:p w14:paraId="5B620A10" w14:textId="77777777" w:rsidR="007054B1" w:rsidRPr="007054B1" w:rsidRDefault="007054B1" w:rsidP="007054B1">
      <w:pPr>
        <w:numPr>
          <w:ilvl w:val="0"/>
          <w:numId w:val="10"/>
        </w:numPr>
      </w:pPr>
      <w:r w:rsidRPr="007054B1">
        <w:rPr>
          <w:b/>
          <w:bCs/>
        </w:rPr>
        <w:lastRenderedPageBreak/>
        <w:t>Establish Innovation Labs</w:t>
      </w:r>
      <w:r w:rsidRPr="007054B1">
        <w:t>: Create dedicated spaces for experimental technology development</w:t>
      </w:r>
    </w:p>
    <w:p w14:paraId="5B28F44F" w14:textId="77777777" w:rsidR="007054B1" w:rsidRPr="007054B1" w:rsidRDefault="007054B1" w:rsidP="007054B1">
      <w:pPr>
        <w:numPr>
          <w:ilvl w:val="0"/>
          <w:numId w:val="10"/>
        </w:numPr>
      </w:pPr>
      <w:r w:rsidRPr="007054B1">
        <w:rPr>
          <w:b/>
          <w:bCs/>
        </w:rPr>
        <w:t>Expand Market Presence</w:t>
      </w:r>
      <w:r w:rsidRPr="007054B1">
        <w:t>: Enter new geographic markets with proven technology solutions</w:t>
      </w:r>
    </w:p>
    <w:p w14:paraId="4D315523" w14:textId="77777777" w:rsidR="007054B1" w:rsidRPr="007054B1" w:rsidRDefault="007054B1" w:rsidP="007054B1">
      <w:pPr>
        <w:numPr>
          <w:ilvl w:val="0"/>
          <w:numId w:val="10"/>
        </w:numPr>
      </w:pPr>
      <w:r w:rsidRPr="007054B1">
        <w:rPr>
          <w:b/>
          <w:bCs/>
        </w:rPr>
        <w:t>Build Strategic Partnerships</w:t>
      </w:r>
      <w:r w:rsidRPr="007054B1">
        <w:t>: Form alliances with leading technology providers</w:t>
      </w:r>
    </w:p>
    <w:p w14:paraId="789C02C4" w14:textId="77777777" w:rsidR="007054B1" w:rsidRPr="007054B1" w:rsidRDefault="007054B1" w:rsidP="007054B1">
      <w:pPr>
        <w:numPr>
          <w:ilvl w:val="0"/>
          <w:numId w:val="10"/>
        </w:numPr>
      </w:pPr>
      <w:r w:rsidRPr="007054B1">
        <w:rPr>
          <w:b/>
          <w:bCs/>
        </w:rPr>
        <w:t>Implement Sustainability Metrics</w:t>
      </w:r>
      <w:r w:rsidRPr="007054B1">
        <w:t>: Develop comprehensive environmental impact measurement systems</w:t>
      </w:r>
    </w:p>
    <w:p w14:paraId="14231E5B" w14:textId="77777777" w:rsidR="007054B1" w:rsidRPr="007054B1" w:rsidRDefault="007054B1" w:rsidP="007054B1">
      <w:pPr>
        <w:rPr>
          <w:b/>
          <w:bCs/>
        </w:rPr>
      </w:pPr>
      <w:r w:rsidRPr="007054B1">
        <w:rPr>
          <w:b/>
          <w:bCs/>
        </w:rPr>
        <w:t>Long-term Vision (3-5 years)</w:t>
      </w:r>
    </w:p>
    <w:p w14:paraId="225033FF" w14:textId="77777777" w:rsidR="007054B1" w:rsidRPr="007054B1" w:rsidRDefault="007054B1" w:rsidP="007054B1">
      <w:pPr>
        <w:numPr>
          <w:ilvl w:val="0"/>
          <w:numId w:val="11"/>
        </w:numPr>
      </w:pPr>
      <w:r w:rsidRPr="007054B1">
        <w:rPr>
          <w:b/>
          <w:bCs/>
        </w:rPr>
        <w:t>Achieve Technology Leadership</w:t>
      </w:r>
      <w:r w:rsidRPr="007054B1">
        <w:t>: Become recognized industry leader in at least two technology domains</w:t>
      </w:r>
    </w:p>
    <w:p w14:paraId="79E7742E" w14:textId="77777777" w:rsidR="007054B1" w:rsidRPr="007054B1" w:rsidRDefault="007054B1" w:rsidP="007054B1">
      <w:pPr>
        <w:numPr>
          <w:ilvl w:val="0"/>
          <w:numId w:val="11"/>
        </w:numPr>
      </w:pPr>
      <w:r w:rsidRPr="007054B1">
        <w:rPr>
          <w:b/>
          <w:bCs/>
        </w:rPr>
        <w:t>Sustainable Operations</w:t>
      </w:r>
      <w:r w:rsidRPr="007054B1">
        <w:t>: Reach carbon-neutral status across all operations</w:t>
      </w:r>
    </w:p>
    <w:p w14:paraId="3F6111E8" w14:textId="77777777" w:rsidR="007054B1" w:rsidRPr="007054B1" w:rsidRDefault="007054B1" w:rsidP="007054B1">
      <w:pPr>
        <w:numPr>
          <w:ilvl w:val="0"/>
          <w:numId w:val="11"/>
        </w:numPr>
      </w:pPr>
      <w:r w:rsidRPr="007054B1">
        <w:rPr>
          <w:b/>
          <w:bCs/>
        </w:rPr>
        <w:t>Global Expansion</w:t>
      </w:r>
      <w:r w:rsidRPr="007054B1">
        <w:t>: Establish presence in all major international markets</w:t>
      </w:r>
    </w:p>
    <w:p w14:paraId="09F8BB3D" w14:textId="77777777" w:rsidR="007054B1" w:rsidRPr="007054B1" w:rsidRDefault="007054B1" w:rsidP="007054B1">
      <w:pPr>
        <w:numPr>
          <w:ilvl w:val="0"/>
          <w:numId w:val="11"/>
        </w:numPr>
      </w:pPr>
      <w:r w:rsidRPr="007054B1">
        <w:rPr>
          <w:b/>
          <w:bCs/>
        </w:rPr>
        <w:t>Innovation Ecosystem</w:t>
      </w:r>
      <w:r w:rsidRPr="007054B1">
        <w:t>: Create a self-sustaining innovation ecosystem with academic and industry partners</w:t>
      </w:r>
    </w:p>
    <w:p w14:paraId="2633D15A" w14:textId="77777777" w:rsidR="007054B1" w:rsidRPr="007054B1" w:rsidRDefault="007054B1" w:rsidP="007054B1">
      <w:pPr>
        <w:rPr>
          <w:b/>
          <w:bCs/>
        </w:rPr>
      </w:pPr>
      <w:r w:rsidRPr="007054B1">
        <w:rPr>
          <w:b/>
          <w:bCs/>
        </w:rPr>
        <w:t>Risk Assessment and Mitigation</w:t>
      </w:r>
    </w:p>
    <w:p w14:paraId="2CF33A65" w14:textId="77777777" w:rsidR="007054B1" w:rsidRPr="007054B1" w:rsidRDefault="007054B1" w:rsidP="007054B1">
      <w:pPr>
        <w:rPr>
          <w:b/>
          <w:bCs/>
        </w:rPr>
      </w:pPr>
      <w:r w:rsidRPr="007054B1">
        <w:rPr>
          <w:b/>
          <w:bCs/>
        </w:rPr>
        <w:t>Technology Risks</w:t>
      </w:r>
    </w:p>
    <w:p w14:paraId="0A140039" w14:textId="77777777" w:rsidR="007054B1" w:rsidRPr="007054B1" w:rsidRDefault="007054B1" w:rsidP="007054B1">
      <w:pPr>
        <w:numPr>
          <w:ilvl w:val="0"/>
          <w:numId w:val="12"/>
        </w:numPr>
      </w:pPr>
      <w:r w:rsidRPr="007054B1">
        <w:rPr>
          <w:b/>
          <w:bCs/>
        </w:rPr>
        <w:t>Rapid Obsolescence</w:t>
      </w:r>
      <w:r w:rsidRPr="007054B1">
        <w:t>: Technologies may become outdated quickly</w:t>
      </w:r>
    </w:p>
    <w:p w14:paraId="3C5941C8" w14:textId="77777777" w:rsidR="007054B1" w:rsidRPr="007054B1" w:rsidRDefault="007054B1" w:rsidP="007054B1">
      <w:pPr>
        <w:numPr>
          <w:ilvl w:val="0"/>
          <w:numId w:val="12"/>
        </w:numPr>
      </w:pPr>
      <w:r w:rsidRPr="007054B1">
        <w:rPr>
          <w:b/>
          <w:bCs/>
        </w:rPr>
        <w:t>Integration Complexity</w:t>
      </w:r>
      <w:r w:rsidRPr="007054B1">
        <w:t>: Difficulty combining multiple technology platforms</w:t>
      </w:r>
    </w:p>
    <w:p w14:paraId="473D5C8A" w14:textId="77777777" w:rsidR="007054B1" w:rsidRPr="007054B1" w:rsidRDefault="007054B1" w:rsidP="007054B1">
      <w:pPr>
        <w:numPr>
          <w:ilvl w:val="0"/>
          <w:numId w:val="12"/>
        </w:numPr>
      </w:pPr>
      <w:r w:rsidRPr="007054B1">
        <w:rPr>
          <w:b/>
          <w:bCs/>
        </w:rPr>
        <w:t>Talent Shortage</w:t>
      </w:r>
      <w:r w:rsidRPr="007054B1">
        <w:t>: Limited availability of skilled professionals</w:t>
      </w:r>
    </w:p>
    <w:p w14:paraId="1813ED88" w14:textId="77777777" w:rsidR="007054B1" w:rsidRPr="007054B1" w:rsidRDefault="007054B1" w:rsidP="007054B1">
      <w:pPr>
        <w:rPr>
          <w:b/>
          <w:bCs/>
        </w:rPr>
      </w:pPr>
      <w:r w:rsidRPr="007054B1">
        <w:rPr>
          <w:b/>
          <w:bCs/>
        </w:rPr>
        <w:t>Market Risks</w:t>
      </w:r>
    </w:p>
    <w:p w14:paraId="4F8C3440" w14:textId="77777777" w:rsidR="007054B1" w:rsidRPr="007054B1" w:rsidRDefault="007054B1" w:rsidP="007054B1">
      <w:pPr>
        <w:numPr>
          <w:ilvl w:val="0"/>
          <w:numId w:val="13"/>
        </w:numPr>
      </w:pPr>
      <w:r w:rsidRPr="007054B1">
        <w:rPr>
          <w:b/>
          <w:bCs/>
        </w:rPr>
        <w:t>Economic Uncertainty</w:t>
      </w:r>
      <w:r w:rsidRPr="007054B1">
        <w:t>: Global economic conditions may impact technology investments</w:t>
      </w:r>
    </w:p>
    <w:p w14:paraId="50BD5DC8" w14:textId="77777777" w:rsidR="007054B1" w:rsidRPr="007054B1" w:rsidRDefault="007054B1" w:rsidP="007054B1">
      <w:pPr>
        <w:numPr>
          <w:ilvl w:val="0"/>
          <w:numId w:val="13"/>
        </w:numPr>
      </w:pPr>
      <w:r w:rsidRPr="007054B1">
        <w:rPr>
          <w:b/>
          <w:bCs/>
        </w:rPr>
        <w:t>Regulatory Changes</w:t>
      </w:r>
      <w:r w:rsidRPr="007054B1">
        <w:t>: New regulations could affect technology implementations</w:t>
      </w:r>
    </w:p>
    <w:p w14:paraId="0BC39607" w14:textId="77777777" w:rsidR="007054B1" w:rsidRPr="007054B1" w:rsidRDefault="007054B1" w:rsidP="007054B1">
      <w:pPr>
        <w:numPr>
          <w:ilvl w:val="0"/>
          <w:numId w:val="13"/>
        </w:numPr>
      </w:pPr>
      <w:r w:rsidRPr="007054B1">
        <w:rPr>
          <w:b/>
          <w:bCs/>
        </w:rPr>
        <w:t>Competition</w:t>
      </w:r>
      <w:r w:rsidRPr="007054B1">
        <w:t>: Increasing competition from established and emerging players</w:t>
      </w:r>
    </w:p>
    <w:p w14:paraId="695F523F" w14:textId="77777777" w:rsidR="007054B1" w:rsidRPr="007054B1" w:rsidRDefault="007054B1" w:rsidP="007054B1">
      <w:pPr>
        <w:rPr>
          <w:b/>
          <w:bCs/>
        </w:rPr>
      </w:pPr>
      <w:r w:rsidRPr="007054B1">
        <w:rPr>
          <w:b/>
          <w:bCs/>
        </w:rPr>
        <w:t>Mitigation Strategies</w:t>
      </w:r>
    </w:p>
    <w:p w14:paraId="08E33493" w14:textId="77777777" w:rsidR="007054B1" w:rsidRPr="007054B1" w:rsidRDefault="007054B1" w:rsidP="007054B1">
      <w:pPr>
        <w:numPr>
          <w:ilvl w:val="0"/>
          <w:numId w:val="14"/>
        </w:numPr>
      </w:pPr>
      <w:r w:rsidRPr="007054B1">
        <w:t>Implement agile development methodologies</w:t>
      </w:r>
    </w:p>
    <w:p w14:paraId="0F649E48" w14:textId="77777777" w:rsidR="007054B1" w:rsidRPr="007054B1" w:rsidRDefault="007054B1" w:rsidP="007054B1">
      <w:pPr>
        <w:numPr>
          <w:ilvl w:val="0"/>
          <w:numId w:val="14"/>
        </w:numPr>
      </w:pPr>
      <w:r w:rsidRPr="007054B1">
        <w:t>Establish continuous learning and development programs</w:t>
      </w:r>
    </w:p>
    <w:p w14:paraId="2218F072" w14:textId="77777777" w:rsidR="007054B1" w:rsidRPr="007054B1" w:rsidRDefault="007054B1" w:rsidP="007054B1">
      <w:pPr>
        <w:numPr>
          <w:ilvl w:val="0"/>
          <w:numId w:val="14"/>
        </w:numPr>
      </w:pPr>
      <w:r w:rsidRPr="007054B1">
        <w:t>Maintain flexible architecture designs</w:t>
      </w:r>
    </w:p>
    <w:p w14:paraId="31CD1969" w14:textId="77777777" w:rsidR="007054B1" w:rsidRPr="007054B1" w:rsidRDefault="007054B1" w:rsidP="007054B1">
      <w:pPr>
        <w:numPr>
          <w:ilvl w:val="0"/>
          <w:numId w:val="14"/>
        </w:numPr>
      </w:pPr>
      <w:r w:rsidRPr="007054B1">
        <w:t>Develop strong relationships with regulatory bodies</w:t>
      </w:r>
    </w:p>
    <w:p w14:paraId="24549C60" w14:textId="77777777" w:rsidR="007054B1" w:rsidRPr="007054B1" w:rsidRDefault="007054B1" w:rsidP="007054B1">
      <w:pPr>
        <w:numPr>
          <w:ilvl w:val="0"/>
          <w:numId w:val="14"/>
        </w:numPr>
      </w:pPr>
      <w:r w:rsidRPr="007054B1">
        <w:t>Create competitive intelligence systems</w:t>
      </w:r>
    </w:p>
    <w:p w14:paraId="5CFFD070" w14:textId="77777777" w:rsidR="007054B1" w:rsidRPr="007054B1" w:rsidRDefault="007054B1" w:rsidP="007054B1">
      <w:pPr>
        <w:rPr>
          <w:b/>
          <w:bCs/>
        </w:rPr>
      </w:pPr>
      <w:r w:rsidRPr="007054B1">
        <w:rPr>
          <w:b/>
          <w:bCs/>
        </w:rPr>
        <w:lastRenderedPageBreak/>
        <w:t>Conclusion</w:t>
      </w:r>
    </w:p>
    <w:p w14:paraId="5CEC300D" w14:textId="77777777" w:rsidR="007054B1" w:rsidRPr="007054B1" w:rsidRDefault="007054B1" w:rsidP="007054B1">
      <w:r w:rsidRPr="007054B1">
        <w:t>The technology landscape continues to evolve at an unprecedented pace. Organizations that can successfully navigate this complexity while maintaining focus on core business objectives will achieve sustainable competitive advantages. Our analysis indicates that strategic investments in AI, cloud computing, and sustainable technologies will yield the highest returns over the next five-year period.</w:t>
      </w:r>
    </w:p>
    <w:p w14:paraId="6BFC5AFB" w14:textId="77777777" w:rsidR="007054B1" w:rsidRPr="007054B1" w:rsidRDefault="007054B1" w:rsidP="007054B1">
      <w:r w:rsidRPr="007054B1">
        <w:t>Success will require not only technological innovation but also organizational agility, workforce development, and strategic partnerships. Companies must balance the pursuit of cutting-edge solutions with practical implementation considerations and long-term sustainability goals.</w:t>
      </w:r>
    </w:p>
    <w:p w14:paraId="4B3B3D7A" w14:textId="77777777" w:rsidR="007054B1" w:rsidRPr="007054B1" w:rsidRDefault="007054B1" w:rsidP="007054B1">
      <w:pPr>
        <w:rPr>
          <w:b/>
          <w:bCs/>
        </w:rPr>
      </w:pPr>
      <w:r w:rsidRPr="007054B1">
        <w:rPr>
          <w:b/>
          <w:bCs/>
        </w:rPr>
        <w:t>Appendices</w:t>
      </w:r>
    </w:p>
    <w:p w14:paraId="3AB2598C" w14:textId="77777777" w:rsidR="007054B1" w:rsidRPr="007054B1" w:rsidRDefault="007054B1" w:rsidP="007054B1">
      <w:pPr>
        <w:rPr>
          <w:b/>
          <w:bCs/>
        </w:rPr>
      </w:pPr>
      <w:r w:rsidRPr="007054B1">
        <w:rPr>
          <w:b/>
          <w:bCs/>
        </w:rPr>
        <w:t>Appendix A: Technical Specifications</w:t>
      </w:r>
    </w:p>
    <w:p w14:paraId="67221CBC" w14:textId="77777777" w:rsidR="007054B1" w:rsidRPr="007054B1" w:rsidRDefault="007054B1" w:rsidP="007054B1">
      <w:pPr>
        <w:numPr>
          <w:ilvl w:val="0"/>
          <w:numId w:val="15"/>
        </w:numPr>
      </w:pPr>
      <w:r w:rsidRPr="007054B1">
        <w:t>Cloud infrastructure requirements</w:t>
      </w:r>
    </w:p>
    <w:p w14:paraId="22B54013" w14:textId="77777777" w:rsidR="007054B1" w:rsidRPr="007054B1" w:rsidRDefault="007054B1" w:rsidP="007054B1">
      <w:pPr>
        <w:numPr>
          <w:ilvl w:val="0"/>
          <w:numId w:val="15"/>
        </w:numPr>
      </w:pPr>
      <w:r w:rsidRPr="007054B1">
        <w:t>AI model performance benchmarks</w:t>
      </w:r>
    </w:p>
    <w:p w14:paraId="1E67E256" w14:textId="77777777" w:rsidR="007054B1" w:rsidRPr="007054B1" w:rsidRDefault="007054B1" w:rsidP="007054B1">
      <w:pPr>
        <w:numPr>
          <w:ilvl w:val="0"/>
          <w:numId w:val="15"/>
        </w:numPr>
      </w:pPr>
      <w:r w:rsidRPr="007054B1">
        <w:t>Security compliance frameworks</w:t>
      </w:r>
    </w:p>
    <w:p w14:paraId="1262B105" w14:textId="77777777" w:rsidR="007054B1" w:rsidRPr="007054B1" w:rsidRDefault="007054B1" w:rsidP="007054B1">
      <w:pPr>
        <w:numPr>
          <w:ilvl w:val="0"/>
          <w:numId w:val="15"/>
        </w:numPr>
      </w:pPr>
      <w:r w:rsidRPr="007054B1">
        <w:t>Integration architecture diagrams</w:t>
      </w:r>
    </w:p>
    <w:p w14:paraId="6F2DD3FF" w14:textId="77777777" w:rsidR="007054B1" w:rsidRPr="007054B1" w:rsidRDefault="007054B1" w:rsidP="007054B1">
      <w:pPr>
        <w:rPr>
          <w:b/>
          <w:bCs/>
        </w:rPr>
      </w:pPr>
      <w:r w:rsidRPr="007054B1">
        <w:rPr>
          <w:b/>
          <w:bCs/>
        </w:rPr>
        <w:t>Appendix B: Market Research Data</w:t>
      </w:r>
    </w:p>
    <w:p w14:paraId="4C2ACCE8" w14:textId="77777777" w:rsidR="007054B1" w:rsidRPr="007054B1" w:rsidRDefault="007054B1" w:rsidP="007054B1">
      <w:pPr>
        <w:numPr>
          <w:ilvl w:val="0"/>
          <w:numId w:val="16"/>
        </w:numPr>
      </w:pPr>
      <w:r w:rsidRPr="007054B1">
        <w:t>Industry survey results</w:t>
      </w:r>
    </w:p>
    <w:p w14:paraId="2103B015" w14:textId="77777777" w:rsidR="007054B1" w:rsidRPr="007054B1" w:rsidRDefault="007054B1" w:rsidP="007054B1">
      <w:pPr>
        <w:numPr>
          <w:ilvl w:val="0"/>
          <w:numId w:val="16"/>
        </w:numPr>
      </w:pPr>
      <w:r w:rsidRPr="007054B1">
        <w:t>Competitor analysis reports</w:t>
      </w:r>
    </w:p>
    <w:p w14:paraId="2586DA44" w14:textId="77777777" w:rsidR="007054B1" w:rsidRPr="007054B1" w:rsidRDefault="007054B1" w:rsidP="007054B1">
      <w:pPr>
        <w:numPr>
          <w:ilvl w:val="0"/>
          <w:numId w:val="16"/>
        </w:numPr>
      </w:pPr>
      <w:r w:rsidRPr="007054B1">
        <w:t>Customer feedback summaries</w:t>
      </w:r>
    </w:p>
    <w:p w14:paraId="417024DD" w14:textId="77777777" w:rsidR="007054B1" w:rsidRPr="007054B1" w:rsidRDefault="007054B1" w:rsidP="007054B1">
      <w:pPr>
        <w:numPr>
          <w:ilvl w:val="0"/>
          <w:numId w:val="16"/>
        </w:numPr>
      </w:pPr>
      <w:r w:rsidRPr="007054B1">
        <w:t>Technology adoption timelines</w:t>
      </w:r>
    </w:p>
    <w:p w14:paraId="06431B0A" w14:textId="77777777" w:rsidR="007054B1" w:rsidRPr="007054B1" w:rsidRDefault="007054B1" w:rsidP="007054B1">
      <w:pPr>
        <w:rPr>
          <w:b/>
          <w:bCs/>
        </w:rPr>
      </w:pPr>
      <w:r w:rsidRPr="007054B1">
        <w:rPr>
          <w:b/>
          <w:bCs/>
        </w:rPr>
        <w:t>Appendix C: Financial Projections</w:t>
      </w:r>
    </w:p>
    <w:p w14:paraId="5770FF8F" w14:textId="77777777" w:rsidR="007054B1" w:rsidRPr="007054B1" w:rsidRDefault="007054B1" w:rsidP="007054B1">
      <w:pPr>
        <w:numPr>
          <w:ilvl w:val="0"/>
          <w:numId w:val="17"/>
        </w:numPr>
      </w:pPr>
      <w:r w:rsidRPr="007054B1">
        <w:t>Detailed cost-benefit analyses</w:t>
      </w:r>
    </w:p>
    <w:p w14:paraId="2509023E" w14:textId="77777777" w:rsidR="007054B1" w:rsidRPr="007054B1" w:rsidRDefault="007054B1" w:rsidP="007054B1">
      <w:pPr>
        <w:numPr>
          <w:ilvl w:val="0"/>
          <w:numId w:val="17"/>
        </w:numPr>
      </w:pPr>
      <w:r w:rsidRPr="007054B1">
        <w:t>ROI calculations by technology area</w:t>
      </w:r>
    </w:p>
    <w:p w14:paraId="65A7D093" w14:textId="77777777" w:rsidR="007054B1" w:rsidRPr="007054B1" w:rsidRDefault="007054B1" w:rsidP="007054B1">
      <w:pPr>
        <w:numPr>
          <w:ilvl w:val="0"/>
          <w:numId w:val="17"/>
        </w:numPr>
      </w:pPr>
      <w:r w:rsidRPr="007054B1">
        <w:t>Budget allocation recommendations</w:t>
      </w:r>
    </w:p>
    <w:p w14:paraId="71F97F40" w14:textId="77777777" w:rsidR="007054B1" w:rsidRPr="007054B1" w:rsidRDefault="007054B1" w:rsidP="007054B1">
      <w:pPr>
        <w:numPr>
          <w:ilvl w:val="0"/>
          <w:numId w:val="17"/>
        </w:numPr>
      </w:pPr>
      <w:r w:rsidRPr="007054B1">
        <w:t>Risk-adjusted investment scenarios</w:t>
      </w:r>
    </w:p>
    <w:p w14:paraId="0B93B104" w14:textId="77777777" w:rsidR="007054B1" w:rsidRPr="007054B1" w:rsidRDefault="007054B1" w:rsidP="007054B1">
      <w:r w:rsidRPr="007054B1">
        <w:pict w14:anchorId="38A99CA0">
          <v:rect id="_x0000_i1031" style="width:0;height:1.5pt" o:hralign="center" o:hrstd="t" o:hr="t" fillcolor="#a0a0a0" stroked="f"/>
        </w:pict>
      </w:r>
    </w:p>
    <w:p w14:paraId="3BFA962F" w14:textId="77777777" w:rsidR="007054B1" w:rsidRPr="007054B1" w:rsidRDefault="007054B1" w:rsidP="007054B1">
      <w:r w:rsidRPr="007054B1">
        <w:rPr>
          <w:b/>
          <w:bCs/>
        </w:rPr>
        <w:t>Document Classification:</w:t>
      </w:r>
      <w:r w:rsidRPr="007054B1">
        <w:t xml:space="preserve"> Internal Use Only</w:t>
      </w:r>
      <w:r w:rsidRPr="007054B1">
        <w:br/>
      </w:r>
      <w:r w:rsidRPr="007054B1">
        <w:rPr>
          <w:b/>
          <w:bCs/>
        </w:rPr>
        <w:t>Last Updated:</w:t>
      </w:r>
      <w:r w:rsidRPr="007054B1">
        <w:t xml:space="preserve"> March 15, 2024</w:t>
      </w:r>
      <w:r w:rsidRPr="007054B1">
        <w:br/>
      </w:r>
      <w:r w:rsidRPr="007054B1">
        <w:rPr>
          <w:b/>
          <w:bCs/>
        </w:rPr>
        <w:t>Next Review Date:</w:t>
      </w:r>
      <w:r w:rsidRPr="007054B1">
        <w:t xml:space="preserve"> June 15, 2024</w:t>
      </w:r>
      <w:r w:rsidRPr="007054B1">
        <w:br/>
      </w:r>
      <w:r w:rsidRPr="007054B1">
        <w:rPr>
          <w:b/>
          <w:bCs/>
        </w:rPr>
        <w:t>Distribution List:</w:t>
      </w:r>
      <w:r w:rsidRPr="007054B1">
        <w:t xml:space="preserve"> Executive Team, Department Heads, Project Managers</w:t>
      </w:r>
    </w:p>
    <w:p w14:paraId="1760579A" w14:textId="77777777" w:rsidR="007054B1" w:rsidRPr="007054B1" w:rsidRDefault="007054B1" w:rsidP="007054B1">
      <w:r w:rsidRPr="007054B1">
        <w:rPr>
          <w:i/>
          <w:iCs/>
        </w:rPr>
        <w:lastRenderedPageBreak/>
        <w:t>This document contains confidential and proprietary information. Distribution outside the organization requires written approval from the Chief Technology Officer.</w:t>
      </w:r>
    </w:p>
    <w:p w14:paraId="662D5FDB" w14:textId="77777777" w:rsidR="009E2995" w:rsidRDefault="009E2995"/>
    <w:sectPr w:rsidR="009E2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C82"/>
    <w:multiLevelType w:val="multilevel"/>
    <w:tmpl w:val="D206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6BCF"/>
    <w:multiLevelType w:val="multilevel"/>
    <w:tmpl w:val="711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27A5"/>
    <w:multiLevelType w:val="multilevel"/>
    <w:tmpl w:val="3510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615"/>
    <w:multiLevelType w:val="multilevel"/>
    <w:tmpl w:val="E7A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F0447"/>
    <w:multiLevelType w:val="multilevel"/>
    <w:tmpl w:val="9FD0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1819"/>
    <w:multiLevelType w:val="multilevel"/>
    <w:tmpl w:val="B26E9C68"/>
    <w:lvl w:ilvl="0">
      <w:start w:val="1"/>
      <w:numFmt w:val="decimal"/>
      <w:pStyle w:val="My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95E78"/>
    <w:multiLevelType w:val="multilevel"/>
    <w:tmpl w:val="F478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87FF9"/>
    <w:multiLevelType w:val="multilevel"/>
    <w:tmpl w:val="AC5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750D6"/>
    <w:multiLevelType w:val="multilevel"/>
    <w:tmpl w:val="F614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A78E6"/>
    <w:multiLevelType w:val="multilevel"/>
    <w:tmpl w:val="B19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B6766"/>
    <w:multiLevelType w:val="multilevel"/>
    <w:tmpl w:val="FCE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64EA1"/>
    <w:multiLevelType w:val="multilevel"/>
    <w:tmpl w:val="6C4C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3583E"/>
    <w:multiLevelType w:val="multilevel"/>
    <w:tmpl w:val="F8B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C5B79"/>
    <w:multiLevelType w:val="multilevel"/>
    <w:tmpl w:val="EA50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D7FCC"/>
    <w:multiLevelType w:val="multilevel"/>
    <w:tmpl w:val="099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005E8"/>
    <w:multiLevelType w:val="multilevel"/>
    <w:tmpl w:val="9C6C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16CC6"/>
    <w:multiLevelType w:val="multilevel"/>
    <w:tmpl w:val="688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930813">
    <w:abstractNumId w:val="5"/>
  </w:num>
  <w:num w:numId="2" w16cid:durableId="1718505083">
    <w:abstractNumId w:val="8"/>
  </w:num>
  <w:num w:numId="3" w16cid:durableId="1638610280">
    <w:abstractNumId w:val="2"/>
  </w:num>
  <w:num w:numId="4" w16cid:durableId="1955671521">
    <w:abstractNumId w:val="1"/>
  </w:num>
  <w:num w:numId="5" w16cid:durableId="1804273299">
    <w:abstractNumId w:val="12"/>
  </w:num>
  <w:num w:numId="6" w16cid:durableId="839390970">
    <w:abstractNumId w:val="14"/>
  </w:num>
  <w:num w:numId="7" w16cid:durableId="1170213547">
    <w:abstractNumId w:val="9"/>
  </w:num>
  <w:num w:numId="8" w16cid:durableId="73406585">
    <w:abstractNumId w:val="16"/>
  </w:num>
  <w:num w:numId="9" w16cid:durableId="1764574065">
    <w:abstractNumId w:val="13"/>
  </w:num>
  <w:num w:numId="10" w16cid:durableId="1159344025">
    <w:abstractNumId w:val="4"/>
  </w:num>
  <w:num w:numId="11" w16cid:durableId="272519072">
    <w:abstractNumId w:val="10"/>
  </w:num>
  <w:num w:numId="12" w16cid:durableId="1601330171">
    <w:abstractNumId w:val="0"/>
  </w:num>
  <w:num w:numId="13" w16cid:durableId="300506599">
    <w:abstractNumId w:val="15"/>
  </w:num>
  <w:num w:numId="14" w16cid:durableId="2043163414">
    <w:abstractNumId w:val="7"/>
  </w:num>
  <w:num w:numId="15" w16cid:durableId="247616240">
    <w:abstractNumId w:val="3"/>
  </w:num>
  <w:num w:numId="16" w16cid:durableId="1253470657">
    <w:abstractNumId w:val="6"/>
  </w:num>
  <w:num w:numId="17" w16cid:durableId="951473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B1"/>
    <w:rsid w:val="0042296E"/>
    <w:rsid w:val="00426E0B"/>
    <w:rsid w:val="007054B1"/>
    <w:rsid w:val="008D7D48"/>
    <w:rsid w:val="009E2995"/>
    <w:rsid w:val="00AB4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D7FA"/>
  <w15:chartTrackingRefBased/>
  <w15:docId w15:val="{C8805B32-ED58-46D1-966D-EDB3406E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292F36"/>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4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4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54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54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54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54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54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umbering">
    <w:name w:val="MyNumbering"/>
    <w:basedOn w:val="Normal"/>
    <w:qFormat/>
    <w:rsid w:val="00AB4364"/>
    <w:pPr>
      <w:numPr>
        <w:numId w:val="1"/>
      </w:numPr>
      <w:shd w:val="clear" w:color="auto" w:fill="FFFFFF"/>
      <w:tabs>
        <w:tab w:val="clear" w:pos="720"/>
      </w:tabs>
      <w:spacing w:after="100" w:afterAutospacing="1" w:line="240" w:lineRule="auto"/>
      <w:ind w:left="450" w:hanging="450"/>
    </w:pPr>
    <w:rPr>
      <w:rFonts w:eastAsia="Times New Roman"/>
      <w:lang w:eastAsia="en-CA"/>
    </w:rPr>
  </w:style>
  <w:style w:type="character" w:customStyle="1" w:styleId="Heading1Char">
    <w:name w:val="Heading 1 Char"/>
    <w:basedOn w:val="DefaultParagraphFont"/>
    <w:link w:val="Heading1"/>
    <w:uiPriority w:val="9"/>
    <w:rsid w:val="007054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4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4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4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54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54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54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54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54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54B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054B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054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4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54B1"/>
    <w:pPr>
      <w:spacing w:before="160"/>
      <w:jc w:val="center"/>
    </w:pPr>
    <w:rPr>
      <w:i/>
      <w:iCs/>
      <w:color w:val="404040" w:themeColor="text1" w:themeTint="BF"/>
    </w:rPr>
  </w:style>
  <w:style w:type="character" w:customStyle="1" w:styleId="QuoteChar">
    <w:name w:val="Quote Char"/>
    <w:basedOn w:val="DefaultParagraphFont"/>
    <w:link w:val="Quote"/>
    <w:uiPriority w:val="29"/>
    <w:rsid w:val="007054B1"/>
    <w:rPr>
      <w:i/>
      <w:iCs/>
      <w:color w:val="404040" w:themeColor="text1" w:themeTint="BF"/>
    </w:rPr>
  </w:style>
  <w:style w:type="paragraph" w:styleId="ListParagraph">
    <w:name w:val="List Paragraph"/>
    <w:basedOn w:val="Normal"/>
    <w:uiPriority w:val="34"/>
    <w:qFormat/>
    <w:rsid w:val="007054B1"/>
    <w:pPr>
      <w:ind w:left="720"/>
      <w:contextualSpacing/>
    </w:pPr>
  </w:style>
  <w:style w:type="character" w:styleId="IntenseEmphasis">
    <w:name w:val="Intense Emphasis"/>
    <w:basedOn w:val="DefaultParagraphFont"/>
    <w:uiPriority w:val="21"/>
    <w:qFormat/>
    <w:rsid w:val="007054B1"/>
    <w:rPr>
      <w:i/>
      <w:iCs/>
      <w:color w:val="0F4761" w:themeColor="accent1" w:themeShade="BF"/>
    </w:rPr>
  </w:style>
  <w:style w:type="paragraph" w:styleId="IntenseQuote">
    <w:name w:val="Intense Quote"/>
    <w:basedOn w:val="Normal"/>
    <w:next w:val="Normal"/>
    <w:link w:val="IntenseQuoteChar"/>
    <w:uiPriority w:val="30"/>
    <w:qFormat/>
    <w:rsid w:val="00705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4B1"/>
    <w:rPr>
      <w:i/>
      <w:iCs/>
      <w:color w:val="0F4761" w:themeColor="accent1" w:themeShade="BF"/>
    </w:rPr>
  </w:style>
  <w:style w:type="character" w:styleId="IntenseReference">
    <w:name w:val="Intense Reference"/>
    <w:basedOn w:val="DefaultParagraphFont"/>
    <w:uiPriority w:val="32"/>
    <w:qFormat/>
    <w:rsid w:val="00705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Humphrey</dc:creator>
  <cp:keywords/>
  <dc:description/>
  <cp:lastModifiedBy>Robin Humphrey</cp:lastModifiedBy>
  <cp:revision>1</cp:revision>
  <dcterms:created xsi:type="dcterms:W3CDTF">2025-09-18T23:59:00Z</dcterms:created>
  <dcterms:modified xsi:type="dcterms:W3CDTF">2025-09-19T00:01:00Z</dcterms:modified>
</cp:coreProperties>
</file>