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a4a8a"/>
          <w:sz w:val="36"/>
          <w:szCs w:val="36"/>
        </w:rPr>
        <w:t xml:space="preserve">AVERIS ACADEMY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Webinar / Class Structure</w:t>
      </w:r>
    </w:p>
    <w:p>
      <w:pPr>
        <w:pBdr>
          <w:bottom w:val="single" w:color="4a4a8a" w:sz="6" w:space="1"/>
        </w:pBdr>
        <w:spacing w:after="32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/ Topic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Introduction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the webinar, introduce yourself and set expectations for the session.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Testimony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a powerful testimony to immediately build credibility and capture attention.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Build Up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excitement and curiosity. Tease what is coming and keep the audience engaged.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Your Story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your personal journey (if applicable). Authenticity builds a deeper connection with your audience.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Transition into the Business Opportunity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Smoothly shift the conversation toward the business opportunity you are presenting.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Talk About Making Money Online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Educate the audience on the concept of making money online — address common doubts and paint the possibility.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Introduce Digital Product Marketing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Explain what digital product marketing is and why it is one of the best online business models available.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Give Examples of Digital Products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 relatable, real-world examples of digital products (e-books, courses, templates, software, etc.).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Explain How to Get Customers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Walk through the methods of attracting and converting customers — organic traffic, paid ads, funnels, etc.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Introduce Averis Academy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Present Averis Academy as the complete solution — explain what it is, what it offers, and who it is for.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Roll Out Your Offers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Clearly present your offers with pricing, value stacks, and what each package includes.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Call to Action (CTA)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 a clear, compelling call to action. Tell your audience exactly what to do next and how to sign up.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Fast Action Takers Bonus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Announce an exclusive bonus for those who act immediately to create urgency and drive fast decisions.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Repeat CTA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Reiterate your call to action — remind the audience of what they need to do and why now is the time.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Round Up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 the webinar with a summary, words of motivation, and gratitude. Leave your audience inspired to act.</w:t>
            </w:r>
          </w:p>
        </w:tc>
      </w:tr>
    </w:tbl>
    <w:p>
      <w:pPr>
        <w:spacing w:before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3"/>
              <w:left w:val="thick" w:color="E6A817" w:sz="12"/>
              <w:bottom w:val="single" w:color="E6A817" w:sz="3"/>
              <w:right w:val="single" w:color="E6A817" w:sz="3"/>
            </w:tcBorders>
            <w:shd w:fill="FFF8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a6000"/>
                <w:sz w:val="22"/>
                <w:szCs w:val="22"/>
              </w:rPr>
              <w:t xml:space="preserve">Important Note</w:t>
            </w:r>
          </w:p>
          <w:p>
            <w:r>
              <w:rPr>
                <w:rFonts w:ascii="Arial" w:cs="Arial" w:eastAsia="Arial" w:hAnsi="Arial"/>
                <w:i/>
                <w:iCs/>
                <w:color w:val="5a4000"/>
                <w:sz w:val="20"/>
                <w:szCs w:val="20"/>
              </w:rPr>
              <w:t xml:space="preserve">Always add plenty of testimonies throughout the webinar to build trust and increase conversions.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2026-05-15T14:11:15.821Z</dcterms:created>
  <dcterms:modified xsi:type="dcterms:W3CDTF">2026-05-15T14:11:15.823Z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