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8"/>
          <w:szCs w:val="28"/>
        </w:rPr>
        <w:t xml:space="preserve">Gesture-Based Silent Control of Amazon Echo Dot Using MediaPipe Hand Landmarks, CLAHE Preprocessing, Real-Time Temporal Stability, Face Authentication, and Serverless AWS Command Logging</w:t>
      </w:r>
    </w:p>
    <w:p>
      <w:pPr>
        <w:spacing w:after="60" w:before="0"/>
        <w:jc w:val="center"/>
      </w:pPr>
      <w:r>
        <w:rPr>
          <w:rFonts w:ascii="Times New Roman" w:cs="Times New Roman" w:eastAsia="Times New Roman" w:hAnsi="Times New Roman"/>
          <w:sz w:val="20"/>
          <w:szCs w:val="20"/>
        </w:rPr>
        <w:t xml:space="preserve">Rana Adiba</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0"/>
          <w:szCs w:val="20"/>
        </w:rPr>
        <w:t xml:space="preserve">, Anannya Mitra</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0"/>
          <w:szCs w:val="20"/>
        </w:rPr>
        <w:t xml:space="preserve">, Janet Megha King</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0"/>
          <w:szCs w:val="20"/>
        </w:rPr>
        <w:t xml:space="preserve">, Jersha L. Davidson</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0"/>
          <w:szCs w:val="20"/>
        </w:rPr>
        <w:t xml:space="preserve">, and Darshana A. Naik</w:t>
      </w:r>
      <w:r>
        <w:rPr>
          <w:rFonts w:ascii="Times New Roman" w:cs="Times New Roman" w:eastAsia="Times New Roman" w:hAnsi="Times New Roman"/>
          <w:sz w:val="16"/>
          <w:szCs w:val="16"/>
          <w:vertAlign w:val="superscript"/>
        </w:rPr>
        <w:t xml:space="preserve">2</w:t>
      </w:r>
    </w:p>
    <w:p>
      <w:pPr>
        <w:spacing w:after="40" w:before="0"/>
        <w:jc w:val="center"/>
      </w:pP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0"/>
          <w:szCs w:val="20"/>
        </w:rPr>
        <w:t xml:space="preserve">Department of Computer Science and Engineering (CSP67),</w:t>
      </w:r>
    </w:p>
    <w:p>
      <w:pPr>
        <w:spacing w:after="40" w:before="0"/>
        <w:jc w:val="center"/>
      </w:pPr>
      <w:r>
        <w:rPr>
          <w:rFonts w:ascii="Times New Roman" w:cs="Times New Roman" w:eastAsia="Times New Roman" w:hAnsi="Times New Roman"/>
          <w:sz w:val="20"/>
          <w:szCs w:val="20"/>
        </w:rPr>
        <w:t xml:space="preserve">M.S. Ramaiah Institute of Technology, Bengaluru 560054, Karnataka, India</w:t>
      </w:r>
    </w:p>
    <w:p>
      <w:pPr>
        <w:spacing w:after="60" w:before="0"/>
        <w:jc w:val="center"/>
      </w:pPr>
      <w:r>
        <w:rPr>
          <w:rFonts w:ascii="Times New Roman" w:cs="Times New Roman" w:eastAsia="Times New Roman" w:hAnsi="Times New Roman"/>
          <w:i/>
          <w:iCs/>
          <w:sz w:val="20"/>
          <w:szCs w:val="20"/>
        </w:rPr>
        <w:t xml:space="preserve">1ms23cs228@msrit.edu, 1ms23cs023@msrit.edu, 1ms23cs078@msrit.edu, 1ms23cs079@msrit.edu</w:t>
      </w:r>
    </w:p>
    <w:p>
      <w:pPr>
        <w:spacing w:after="40" w:before="0"/>
        <w:jc w:val="center"/>
      </w:pP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20"/>
          <w:szCs w:val="20"/>
        </w:rPr>
        <w:t xml:space="preserve">Department of Computer Science and Engineering,</w:t>
      </w:r>
    </w:p>
    <w:p>
      <w:pPr>
        <w:spacing w:after="40" w:before="0"/>
        <w:jc w:val="center"/>
      </w:pPr>
      <w:r>
        <w:rPr>
          <w:rFonts w:ascii="Times New Roman" w:cs="Times New Roman" w:eastAsia="Times New Roman" w:hAnsi="Times New Roman"/>
          <w:sz w:val="20"/>
          <w:szCs w:val="20"/>
        </w:rPr>
        <w:t xml:space="preserve">M.S. Ramaiah Institute of Technology, Bengaluru 560054, Karnataka, India</w:t>
      </w:r>
    </w:p>
    <w:p>
      <w:pPr>
        <w:spacing w:after="200" w:before="0"/>
        <w:jc w:val="center"/>
      </w:pPr>
      <w:r>
        <w:rPr>
          <w:rFonts w:ascii="Times New Roman" w:cs="Times New Roman" w:eastAsia="Times New Roman" w:hAnsi="Times New Roman"/>
          <w:i/>
          <w:iCs/>
          <w:sz w:val="20"/>
          <w:szCs w:val="20"/>
        </w:rPr>
        <w:t xml:space="preserve">darshana.naik@msrit.edu</w:t>
      </w:r>
    </w:p>
    <w:p>
      <w:pPr>
        <w:spacing w:after="80" w:before="120"/>
        <w:ind w:left="720" w:right="72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Voice-dependent smart home systems exclude the approximately 430 million people worldwide who have disabling hearing or speech impairments (World Health Organization, 2021). This paper presents a gesture-based silent control system for Amazon Echo Dot that requires no spoken wake word. A webcam feed is processed through a CLAHE luminance-adaptive preprocessing stage before hand landmarks are extracted by MediaPipe Hands (21 normalised landmarks). A rule-based classifier maps extension vectors to six gesture classes; a temporal stability buffer (N = 10 frames, μ = 0.6 agreement) eliminates spurious triggers. A dlib batch-voting face authenticator (τ = 0.55, V = 5, K = 3) gates command dispatch. Commands reach Amazon Echo Dot via Voice Monkey without a wake word; AWS Lambda logs every gesture command to DynamoDB for voice-queryable history. An emergency subsystem fires Twilio SMS and voice calls when a three-finger gesture is held for 75 consecutive frames. Experimental evaluation over 540 gesture trials across three lighting conditions yields a mean recognition accuracy of 93.9%, rising to 96.1% under normal illumination. Face authentication over 37 trials achieved a True Acceptance Rate of 100.0%, False Rejection Rate of 0.0%, and False Acceptance Rate of 11.8% (reducible by tightening the distance threshold from τ = 0.65 to 0.55). The local processing pipeline runs at a median end-to-end latency of 156 ms, well within real-time interaction bounds.</w:t>
      </w:r>
    </w:p>
    <w:p>
      <w:pPr>
        <w:spacing w:after="200" w:before="0"/>
        <w:ind w:left="720" w:right="72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hand gesture recognition · smart home control · Amazon Echo Dot · MediaPipe Hands · CLAHE · face authentication · Voice Monkey · AWS Lambda · accessibility</w:t>
      </w:r>
    </w:p>
    <w:p>
      <w:pPr>
        <w:spacing w:after="120" w:before="240"/>
        <w:jc w:val="left"/>
      </w:pPr>
      <w:r>
        <w:rPr>
          <w:rFonts w:ascii="Times New Roman" w:cs="Times New Roman" w:eastAsia="Times New Roman" w:hAnsi="Times New Roman"/>
          <w:b/>
          <w:bCs/>
          <w:sz w:val="24"/>
          <w:szCs w:val="24"/>
        </w:rPr>
        <w:t xml:space="preserve">1.  Introduction</w:t>
      </w:r>
    </w:p>
    <w:p>
      <w:pPr>
        <w:spacing w:after="80" w:before="80"/>
        <w:jc w:val="both"/>
      </w:pPr>
      <w:r>
        <w:rPr>
          <w:rFonts w:ascii="Times New Roman" w:cs="Times New Roman" w:eastAsia="Times New Roman" w:hAnsi="Times New Roman"/>
          <w:sz w:val="20"/>
          <w:szCs w:val="20"/>
        </w:rPr>
        <w:t xml:space="preserve">The Amazon Echo Dot and similar smart speakers depend entirely on voice commands, creating a fundamental accessibility barrier for the estimated 430 million individuals worldwide who have disabling hearing or speech impairments — approximately 5% of the global population (World Health Organization, 2021) [15]. These users cannot issue spoken wake words such as “Alexa” and are therefore excluded from the smart home ecosystem despite the devices being physically present in their homes.</w:t>
      </w:r>
    </w:p>
    <w:p>
      <w:pPr>
        <w:spacing w:after="80" w:before="80"/>
        <w:jc w:val="both"/>
      </w:pPr>
      <w:r>
        <w:rPr>
          <w:rFonts w:ascii="Times New Roman" w:cs="Times New Roman" w:eastAsia="Times New Roman" w:hAnsi="Times New Roman"/>
          <w:sz w:val="20"/>
          <w:szCs w:val="20"/>
        </w:rPr>
        <w:t xml:space="preserve">Prior work on hand gesture recognition has advanced substantially. Deep learning classifiers built on spatial convolution and bidirectional long short-term memory (BiLSTM) networks achieve recognition accuracies above 96% on benchmark sign-language corpora [1,2]. Lightweight rule-based approaches using the MediaPipe Hands skeletal-landmark framework achieve near-comparable accuracy at far lower computational cost [6,11]. However, a consistent gap remains: gesture recognition modules have not been fully integrated with commercially deployed voice-assistant hardware, and no published system addresses the simultaneous requirements of (i) identity verification, (ii) emergency alerting, and (iii) cloud-persisted command logging alongside gesture-to-Alexa dispatch.</w:t>
      </w:r>
    </w:p>
    <w:p>
      <w:pPr>
        <w:spacing w:after="80" w:before="80"/>
        <w:jc w:val="both"/>
      </w:pPr>
      <w:r>
        <w:rPr>
          <w:rFonts w:ascii="Times New Roman" w:cs="Times New Roman" w:eastAsia="Times New Roman" w:hAnsi="Times New Roman"/>
          <w:sz w:val="20"/>
          <w:szCs w:val="20"/>
        </w:rPr>
        <w:t xml:space="preserve">This paper closes that gap by presenting a complete, deployable pipeline that transforms a standard webcam gesture into a silent Echo Dot command without any voice interaction. The system makes five original contributions:</w:t>
      </w:r>
    </w:p>
    <w:p>
      <w:pPr>
        <w:spacing w:after="60" w:before="60"/>
        <w:ind w:left="360" w:hanging="3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CLAHE-adaptive preprocessing. </w:t>
      </w:r>
      <w:r>
        <w:rPr>
          <w:rFonts w:ascii="Times New Roman" w:cs="Times New Roman" w:eastAsia="Times New Roman" w:hAnsi="Times New Roman"/>
          <w:sz w:val="20"/>
          <w:szCs w:val="20"/>
        </w:rPr>
        <w:t xml:space="preserve">A luminance-triggered Contrast-Limited Adaptive Histogram Equalisation stage applied in the CIE LAB colour space maintains acceptable recognition accuracy in low-light conditions (93.3% at &lt;50 lux versus 92.2% in bright conditions).</w:t>
      </w:r>
    </w:p>
    <w:p>
      <w:pPr>
        <w:spacing w:after="60" w:before="60"/>
        <w:ind w:left="360" w:hanging="3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Temporal stability with cooldown gating. </w:t>
      </w:r>
      <w:r>
        <w:rPr>
          <w:rFonts w:ascii="Times New Roman" w:cs="Times New Roman" w:eastAsia="Times New Roman" w:hAnsi="Times New Roman"/>
          <w:sz w:val="20"/>
          <w:szCs w:val="20"/>
        </w:rPr>
        <w:t xml:space="preserve">A circular buffer of N = 10 frames with a 60% agreement threshold reduces the false trigger rate from 113.3% at N = 1 to 10.0% at N = 10, with a selectable N = 15 configuration achieving 0% false triggers at 1,341 ms latency.</w:t>
      </w:r>
    </w:p>
    <w:p>
      <w:pPr>
        <w:spacing w:after="60" w:before="60"/>
        <w:ind w:left="360" w:hanging="3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Batch-voting face authentication. </w:t>
      </w:r>
      <w:r>
        <w:rPr>
          <w:rFonts w:ascii="Times New Roman" w:cs="Times New Roman" w:eastAsia="Times New Roman" w:hAnsi="Times New Roman"/>
          <w:sz w:val="20"/>
          <w:szCs w:val="20"/>
        </w:rPr>
        <w:t xml:space="preserve">Dlib 128-D face encodings with majority voting (V = 5 events, K = 3 threshold) achieves 100% TAR and 0% FRR over 20 enrolled-user trials, with FAR of 11.8% across 17 impostor trials.</w:t>
      </w:r>
    </w:p>
    <w:p>
      <w:pPr>
        <w:spacing w:after="60" w:before="60"/>
        <w:ind w:left="360" w:hanging="3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Proactive Alexa integration via Voice Monkey. </w:t>
      </w:r>
      <w:r>
        <w:rPr>
          <w:rFonts w:ascii="Times New Roman" w:cs="Times New Roman" w:eastAsia="Times New Roman" w:hAnsi="Times New Roman"/>
          <w:sz w:val="20"/>
          <w:szCs w:val="20"/>
        </w:rPr>
        <w:t xml:space="preserve">Alexa Routines are triggered silently without a wake word through the Voice Monkey proactive notification API, eliminating reliance on voice for Echo Dot activation.</w:t>
      </w:r>
    </w:p>
    <w:p>
      <w:pPr>
        <w:spacing w:after="60" w:before="60"/>
        <w:ind w:left="360" w:hanging="3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Dual-path serverless logging. </w:t>
      </w:r>
      <w:r>
        <w:rPr>
          <w:rFonts w:ascii="Times New Roman" w:cs="Times New Roman" w:eastAsia="Times New Roman" w:hAnsi="Times New Roman"/>
          <w:sz w:val="20"/>
          <w:szCs w:val="20"/>
        </w:rPr>
        <w:t xml:space="preserve">AWS Lambda and DynamoDB log every authenticated gesture command for retrieval via a custom Alexa Skill, enabling voice-queryable gesture history.</w:t>
      </w:r>
    </w:p>
    <w:p>
      <w:pPr>
        <w:spacing w:after="80" w:before="80"/>
        <w:jc w:val="both"/>
      </w:pPr>
      <w:r>
        <w:rPr>
          <w:rFonts w:ascii="Times New Roman" w:cs="Times New Roman" w:eastAsia="Times New Roman" w:hAnsi="Times New Roman"/>
          <w:sz w:val="20"/>
          <w:szCs w:val="20"/>
        </w:rPr>
        <w:t xml:space="preserve">The remainder of this paper is structured as follows. Section 2 reviews related work. Section 3 presents the system architecture. Section 4 details the implementation, including 17 governing equations. Section 5 reports experimental evaluation. Section 6 discusses results and limitations. Section 7 concludes.</w:t>
      </w:r>
    </w:p>
    <w:p>
      <w:pPr>
        <w:spacing w:after="120" w:before="240"/>
        <w:jc w:val="left"/>
      </w:pPr>
      <w:r>
        <w:rPr>
          <w:rFonts w:ascii="Times New Roman" w:cs="Times New Roman" w:eastAsia="Times New Roman" w:hAnsi="Times New Roman"/>
          <w:b/>
          <w:bCs/>
          <w:sz w:val="24"/>
          <w:szCs w:val="24"/>
        </w:rPr>
        <w:t xml:space="preserve">2.  Related Work</w:t>
      </w:r>
    </w:p>
    <w:p>
      <w:pPr>
        <w:spacing w:after="80" w:before="180"/>
        <w:jc w:val="left"/>
      </w:pPr>
      <w:r>
        <w:rPr>
          <w:rFonts w:ascii="Times New Roman" w:cs="Times New Roman" w:eastAsia="Times New Roman" w:hAnsi="Times New Roman"/>
          <w:b/>
          <w:bCs/>
          <w:sz w:val="20"/>
          <w:szCs w:val="20"/>
        </w:rPr>
        <w:t xml:space="preserve">2.1  Hand Gesture Recognition with Deep Learning</w:t>
      </w:r>
    </w:p>
    <w:p>
      <w:pPr>
        <w:spacing w:after="80" w:before="80"/>
        <w:jc w:val="both"/>
      </w:pPr>
      <w:r>
        <w:rPr>
          <w:rFonts w:ascii="Times New Roman" w:cs="Times New Roman" w:eastAsia="Times New Roman" w:hAnsi="Times New Roman"/>
          <w:sz w:val="20"/>
          <w:szCs w:val="20"/>
        </w:rPr>
        <w:t xml:space="preserve">Zhang et al. (2023) [1] trained a Spatial Convolution Neural Network fused with Bidirectional LSTM (SCNN+BiLSTM) on 78,000 images from the ASL and ISL benchmark corpora, achieving 96.0% accuracy with a Cohen’s κ of 0.95 on a 26-class alphabet recognition task. The authors report a false positive rate of 1% under controlled lighting. MediaPipe Hands, used as the landmark backbone in several reviewed systems, was trained on approximately 30,000 real-world and synthetically augmented hand images and achieves 87.9% recall at a 1% false positive rate across 21 normalised landmark coordinates [11]. Li et al. (2023) [6] augmented the MediaPipe backbone with a DenseNet-201 classification head, reporting 97.55% accuracy on a 10-class Kaggle gesture dataset under controlled studio lighting. Neither of these systems addresses lighting variability, real-time IoT dispatch, or user authentication.</w:t>
      </w:r>
    </w:p>
    <w:p>
      <w:pPr>
        <w:spacing w:after="80" w:before="180"/>
        <w:jc w:val="left"/>
      </w:pPr>
      <w:r>
        <w:rPr>
          <w:rFonts w:ascii="Times New Roman" w:cs="Times New Roman" w:eastAsia="Times New Roman" w:hAnsi="Times New Roman"/>
          <w:b/>
          <w:bCs/>
          <w:sz w:val="20"/>
          <w:szCs w:val="20"/>
        </w:rPr>
        <w:t xml:space="preserve">2.2  Gesture-Based Smart Home and IoT Control</w:t>
      </w:r>
    </w:p>
    <w:p>
      <w:pPr>
        <w:spacing w:after="80" w:before="80"/>
        <w:jc w:val="both"/>
      </w:pPr>
      <w:r>
        <w:rPr>
          <w:rFonts w:ascii="Times New Roman" w:cs="Times New Roman" w:eastAsia="Times New Roman" w:hAnsi="Times New Roman"/>
          <w:sz w:val="20"/>
          <w:szCs w:val="20"/>
        </w:rPr>
        <w:t xml:space="preserve">Kumar et al. (2023) [2] proposed a multimodal fusion system combining wrist-mounted inertial measurement units with a CNN visual branch, achieving 94.3% accuracy at a 153 ms end-to-end latency on a custom 8-gesture dataset of 4,200 samples. A gesture-only variant of the same architecture achieved 87.5% at 210 ms. The system dispatched commands to ZigBee-connected smart plugs but required no user authentication and lacked voice assistant integration. Chen et al. (2022) [3] deployed a rule-based gesture recogniser on a Raspberry Pi 4 connected to an AWS IoT Core broker; they report gesture recognition latency of 60– 80 ms and device command dispatch of 200–300 ms. Nguyen et al. (2022) [4] demonstrated Gesture-to-Alexa-Command (G2AC) bridging using a pre-trained CNN and an Alexa Skills Kit integration, achieving 98.0% accuracy on a 6-gesture custom dataset. However, G2AC relied on Alexa voice responses rather than proactive Wake-Word-free triggering, limiting utility for hearing-impaired users.</w:t>
      </w:r>
    </w:p>
    <w:p>
      <w:pPr>
        <w:spacing w:after="80" w:before="180"/>
        <w:jc w:val="left"/>
      </w:pPr>
      <w:r>
        <w:rPr>
          <w:rFonts w:ascii="Times New Roman" w:cs="Times New Roman" w:eastAsia="Times New Roman" w:hAnsi="Times New Roman"/>
          <w:b/>
          <w:bCs/>
          <w:sz w:val="20"/>
          <w:szCs w:val="20"/>
        </w:rPr>
        <w:t xml:space="preserve">2.3  Lighting Robustness in Gesture Recognition</w:t>
      </w:r>
    </w:p>
    <w:p>
      <w:pPr>
        <w:spacing w:after="80" w:before="80"/>
        <w:jc w:val="both"/>
      </w:pPr>
      <w:r>
        <w:rPr>
          <w:rFonts w:ascii="Times New Roman" w:cs="Times New Roman" w:eastAsia="Times New Roman" w:hAnsi="Times New Roman"/>
          <w:sz w:val="20"/>
          <w:szCs w:val="20"/>
        </w:rPr>
        <w:t xml:space="preserve">Wang et al. (2022) [5] specifically investigated the lighting sensitivity of landmark-based classifiers, reporting 98.0% accuracy under bright conditions (&gt;200 lux) degrading to 81.0% under dim conditions (&lt;50 lux) for a 10-gesture vocabulary — a 17-percentage-point gap attributable to landmark detector instability. Histogram equalisation in grayscale was found to recover 6 percentage points, while full CLAHE in the LAB colour space recovered 12 percentage points. Patel et al. (2021) [7] applied CLAHE preprocessing to a 12-gesture ISL dataset, reporting an improvement from 79.4% to 88.7% under low-light conditions (clip limit α = 2.0, tile grid T = 8). These findings directly motivate the CLAHE preprocessing stage of our system.</w:t>
      </w:r>
    </w:p>
    <w:p>
      <w:pPr>
        <w:spacing w:after="80" w:before="180"/>
        <w:jc w:val="left"/>
      </w:pPr>
      <w:r>
        <w:rPr>
          <w:rFonts w:ascii="Times New Roman" w:cs="Times New Roman" w:eastAsia="Times New Roman" w:hAnsi="Times New Roman"/>
          <w:b/>
          <w:bCs/>
          <w:sz w:val="20"/>
          <w:szCs w:val="20"/>
        </w:rPr>
        <w:t xml:space="preserve">2.4  Face Authentication in Interactive Systems</w:t>
      </w:r>
    </w:p>
    <w:p>
      <w:pPr>
        <w:spacing w:after="80" w:before="80"/>
        <w:jc w:val="both"/>
      </w:pPr>
      <w:r>
        <w:rPr>
          <w:rFonts w:ascii="Times New Roman" w:cs="Times New Roman" w:eastAsia="Times New Roman" w:hAnsi="Times New Roman"/>
          <w:sz w:val="20"/>
          <w:szCs w:val="20"/>
        </w:rPr>
        <w:t xml:space="preserve">Dlib’s 128-dimensional ResNet face encoding achieves an Equal Error Rate (EER) below 0.6% on the Labelled Faces in the Wild (LFW) benchmark [13]. King (2009) [13] demonstrated that Euclidean distance threshold τ = 0.6 balances TAR and FAR on LFW, while tighter thresholds (τ = 0.4– 0.5) reduce FAR to near zero at the cost of a modest FRR increase. Sharma et al. (2022) [8] integrated face authentication into a gesture-controlled smart display system and reported that batch-voting across five consecutive recognition events reduced false acceptance by 47% compared to single-shot authentication, motivating the V = 5, K = 3 voting configuration adopted in the present work.</w:t>
      </w:r>
    </w:p>
    <w:p>
      <w:pPr>
        <w:spacing w:after="80" w:before="180"/>
        <w:jc w:val="left"/>
      </w:pPr>
      <w:r>
        <w:rPr>
          <w:rFonts w:ascii="Times New Roman" w:cs="Times New Roman" w:eastAsia="Times New Roman" w:hAnsi="Times New Roman"/>
          <w:b/>
          <w:bCs/>
          <w:sz w:val="20"/>
          <w:szCs w:val="20"/>
        </w:rPr>
        <w:t xml:space="preserve">2.5  Cloud-Based Smart Home Architectures</w:t>
      </w:r>
    </w:p>
    <w:p>
      <w:pPr>
        <w:spacing w:after="80" w:before="80"/>
        <w:jc w:val="both"/>
      </w:pPr>
      <w:r>
        <w:rPr>
          <w:rFonts w:ascii="Times New Roman" w:cs="Times New Roman" w:eastAsia="Times New Roman" w:hAnsi="Times New Roman"/>
          <w:sz w:val="20"/>
          <w:szCs w:val="20"/>
        </w:rPr>
        <w:t xml:space="preserve">Park et al. (2023) [9] evaluated three serverless architectures for IoT command logging — AWS Lambda, Google Cloud Functions, and Azure Functions — on a common benchmark of 10,000 simulated device events. AWS Lambda with DynamoDB achieved a median write latency of 12 ms and 99.97% availability over a 30-day trial, the lowest of the three platforms. Hassan et al. (2021) [10] integrated an Alexa Skill with DynamoDB for home automation history retrieval, reporting that scan-based queries on tables below 10,000 rows complete in under 50 ms. Voice Monkey, the proactive notification service used in the present work to trigger Alexa Routines without a wake word, is documented by its developers [12] and referenced in smart home integration tutorials [14,16,17]. This combination of DynamoDB logging and Voice Monkey dispatch is, to our knowledge, unreported in the gesture-control literature.</w:t>
      </w:r>
    </w:p>
    <w:p>
      <w:pPr>
        <w:spacing w:after="120" w:before="240"/>
        <w:jc w:val="left"/>
      </w:pPr>
      <w:r>
        <w:rPr>
          <w:rFonts w:ascii="Times New Roman" w:cs="Times New Roman" w:eastAsia="Times New Roman" w:hAnsi="Times New Roman"/>
          <w:b/>
          <w:bCs/>
          <w:sz w:val="24"/>
          <w:szCs w:val="24"/>
        </w:rPr>
        <w:t xml:space="preserve">3.  System Architecture</w:t>
      </w:r>
    </w:p>
    <w:p>
      <w:pPr>
        <w:spacing w:after="80" w:before="80"/>
        <w:jc w:val="both"/>
      </w:pPr>
      <w:r>
        <w:rPr>
          <w:rFonts w:ascii="Times New Roman" w:cs="Times New Roman" w:eastAsia="Times New Roman" w:hAnsi="Times New Roman"/>
          <w:sz w:val="20"/>
          <w:szCs w:val="20"/>
        </w:rPr>
        <w:t xml:space="preserve">The system comprises two complementary data paths operating concurrently, as shown in Fig. 1.</w:t>
      </w:r>
    </w:p>
    <w:p>
      <w:pPr>
        <w:spacing w:after="80" w:before="80"/>
        <w:jc w:val="both"/>
      </w:pPr>
      <w:r>
        <w:rPr>
          <w:rFonts w:ascii="Times New Roman" w:cs="Times New Roman" w:eastAsia="Times New Roman" w:hAnsi="Times New Roman"/>
          <w:b/>
          <w:bCs/>
          <w:sz w:val="20"/>
          <w:szCs w:val="20"/>
        </w:rPr>
        <w:t xml:space="preserve">Control path (gesture → Echo Dot). </w:t>
      </w:r>
      <w:r>
        <w:rPr>
          <w:rFonts w:ascii="Times New Roman" w:cs="Times New Roman" w:eastAsia="Times New Roman" w:hAnsi="Times New Roman"/>
          <w:sz w:val="20"/>
          <w:szCs w:val="20"/>
        </w:rPr>
        <w:t xml:space="preserve">A webcam frame is pre-processed by the CLAHE stage, fed to the MediaPipe Hands detector, classified by the rule-based gesture classifier, validated by the temporal stability buffer, authenticated by the face-recognition gate, and dispatched via Flask and Voice Monkey to trigger an Alexa Routine on the Echo Dot. No voice interaction is required at any stage.</w:t>
      </w:r>
    </w:p>
    <w:p>
      <w:pPr>
        <w:spacing w:after="80" w:before="80"/>
        <w:jc w:val="both"/>
      </w:pPr>
      <w:r>
        <w:rPr>
          <w:rFonts w:ascii="Times New Roman" w:cs="Times New Roman" w:eastAsia="Times New Roman" w:hAnsi="Times New Roman"/>
          <w:b/>
          <w:bCs/>
          <w:sz w:val="20"/>
          <w:szCs w:val="20"/>
        </w:rPr>
        <w:t xml:space="preserve">Monitor path (voice → DynamoDB). </w:t>
      </w:r>
      <w:r>
        <w:rPr>
          <w:rFonts w:ascii="Times New Roman" w:cs="Times New Roman" w:eastAsia="Times New Roman" w:hAnsi="Times New Roman"/>
          <w:sz w:val="20"/>
          <w:szCs w:val="20"/>
        </w:rPr>
        <w:t xml:space="preserve">In parallel, an AWS API Gateway endpoint accepts POST requests from Flask, routing them to a Lambda function that writes gesture-command records to DynamoDB. A custom Alexa Skill handles intents such as “Alexa, ask gesture control what was the last gesture”, reading from DynamoDB and synthesising a spoken response.</w:t>
      </w:r>
    </w:p>
    <w:p>
      <w:pPr>
        <w:pBdr>
          <w:top w:val="single" w:color="999999" w:sz="1"/>
          <w:bottom w:val="single" w:color="999999" w:sz="1"/>
          <w:left w:val="single" w:color="999999" w:sz="1"/>
          <w:right w:val="single" w:color="999999" w:sz="1"/>
        </w:pBdr>
        <w:spacing w:after="40" w:before="160"/>
        <w:jc w:val="center"/>
      </w:pPr>
      <w:r>
        <w:rPr>
          <w:rFonts w:ascii="Times New Roman" w:cs="Times New Roman" w:eastAsia="Times New Roman" w:hAnsi="Times New Roman"/>
          <w:i/>
          <w:iCs/>
          <w:color w:val="888888"/>
          <w:sz w:val="18"/>
          <w:szCs w:val="18"/>
        </w:rPr>
        <w:t xml:space="preserve">[INSERT Fig. 1: System architecture: dual-path gesture-to-Alexa control and monitor pipeline]</w:t>
      </w:r>
    </w:p>
    <w:p>
      <w:pPr>
        <w:spacing w:after="160" w:before="60"/>
        <w:jc w:val="center"/>
      </w:pPr>
      <w:r>
        <w:rPr>
          <w:rFonts w:ascii="Times New Roman" w:cs="Times New Roman" w:eastAsia="Times New Roman" w:hAnsi="Times New Roman"/>
          <w:sz w:val="18"/>
          <w:szCs w:val="18"/>
        </w:rPr>
        <w:t xml:space="preserve">Fig. 1. System architecture: dual-path gesture-to-Alexa control and monitor pipeline.</w:t>
      </w:r>
    </w:p>
    <w:p>
      <w:pPr>
        <w:spacing w:after="80" w:before="80"/>
        <w:jc w:val="both"/>
      </w:pPr>
      <w:r>
        <w:rPr>
          <w:rFonts w:ascii="Times New Roman" w:cs="Times New Roman" w:eastAsia="Times New Roman" w:hAnsi="Times New Roman"/>
          <w:sz w:val="20"/>
          <w:szCs w:val="20"/>
        </w:rPr>
        <w:t xml:space="preserve">Table 2 maps the six supported gestures to their corresponding Echo Dot actions.</w:t>
      </w:r>
    </w:p>
    <w:p>
      <w:pPr>
        <w:spacing w:after="80" w:before="0"/>
        <w:jc w:val="both"/>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sz w:val="18"/>
          <w:szCs w:val="18"/>
        </w:rPr>
        <w:t xml:space="preserve">Table 2. Gesture-to-command mapping for the six supported gesture classes.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72"/>
      </w:tblGrid>
      <w:tr>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Gesture</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Command</w:t>
            </w:r>
          </w:p>
        </w:tc>
        <w:tc>
          <w:tcPr>
            <w:tcW w:type="dxa" w:w="4072"/>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Echo Dot Action</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Thumbs Up</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play_music</w:t>
            </w:r>
          </w:p>
        </w:tc>
        <w:tc>
          <w:tcPr>
            <w:tcW w:type="dxa" w:w="4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Triggers “Play Music” Alexa Routine</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Thumbs Down</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stop_music</w:t>
            </w:r>
          </w:p>
        </w:tc>
        <w:tc>
          <w:tcPr>
            <w:tcW w:type="dxa" w:w="4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Triggers “Stop Music” Alexa Routine</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Open Palm</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lights_on</w:t>
            </w:r>
          </w:p>
        </w:tc>
        <w:tc>
          <w:tcPr>
            <w:tcW w:type="dxa" w:w="4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Triggers “Turn Lights On” Alexa Routine</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Closed Fist</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lights_off</w:t>
            </w:r>
          </w:p>
        </w:tc>
        <w:tc>
          <w:tcPr>
            <w:tcW w:type="dxa" w:w="4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Triggers “Turn Lights Off” Alexa Routine</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Peace / V Sign</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weather_report</w:t>
            </w:r>
          </w:p>
        </w:tc>
        <w:tc>
          <w:tcPr>
            <w:tcW w:type="dxa" w:w="4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Triggers “Weather Report” Alexa Routine</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Three Fingers (hold)</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emergency_call</w:t>
            </w:r>
          </w:p>
        </w:tc>
        <w:tc>
          <w:tcPr>
            <w:tcW w:type="dxa" w:w="4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Twilio SMS + voice call to emergency contact</w:t>
            </w:r>
          </w:p>
        </w:tc>
      </w:tr>
    </w:tbl>
    <w:p>
      <w:pPr>
        <w:spacing w:after="80" w:before="0"/>
        <w:jc w:val="both"/>
      </w:pPr>
      <w:r>
        <w:rPr>
          <w:rFonts w:ascii="Times New Roman" w:cs="Times New Roman" w:eastAsia="Times New Roman" w:hAnsi="Times New Roman"/>
          <w:sz w:val="20"/>
          <w:szCs w:val="20"/>
        </w:rPr>
        <w:t xml:space="preserve"/>
      </w:r>
    </w:p>
    <w:p>
      <w:pPr>
        <w:spacing w:after="120" w:before="240"/>
        <w:jc w:val="left"/>
      </w:pPr>
      <w:r>
        <w:rPr>
          <w:rFonts w:ascii="Times New Roman" w:cs="Times New Roman" w:eastAsia="Times New Roman" w:hAnsi="Times New Roman"/>
          <w:b/>
          <w:bCs/>
          <w:sz w:val="24"/>
          <w:szCs w:val="24"/>
        </w:rPr>
        <w:t xml:space="preserve">4.  Implementation</w:t>
      </w:r>
    </w:p>
    <w:p>
      <w:pPr>
        <w:spacing w:after="80" w:before="80"/>
        <w:jc w:val="both"/>
      </w:pPr>
      <w:r>
        <w:rPr>
          <w:rFonts w:ascii="Times New Roman" w:cs="Times New Roman" w:eastAsia="Times New Roman" w:hAnsi="Times New Roman"/>
          <w:sz w:val="20"/>
          <w:szCs w:val="20"/>
        </w:rPr>
        <w:t xml:space="preserve">Table 1 introduces the notation used throughout this section.</w:t>
      </w:r>
    </w:p>
    <w:p>
      <w:pPr>
        <w:spacing w:after="80" w:before="0"/>
        <w:jc w:val="both"/>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sz w:val="18"/>
          <w:szCs w:val="18"/>
        </w:rPr>
        <w:t xml:space="preserve">Table 1. Mathematical notation used in this paper.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Symbol</w:t>
            </w:r>
          </w:p>
        </w:tc>
        <w:tc>
          <w:tcPr>
            <w:tcW w:type="dxa" w:w="7072"/>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Definition</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L̅</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Mean luminance of the CIE LAB L-channel over the current frame</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θ</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CLAHE activation threshold (θ = 30)</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α</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CLAHE clip limit (α = 2.0)</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T</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CLAHE tile grid dimension (T = 8)</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yₜᵢₚ</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Normalised y-coordinate of fingertip landmark</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yₚᴵₚ</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Normalised y-coordinate of proximal interphalangeal (PIP) joint</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xₜᵢₚ</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Normalised x-coordinate of thumb tip</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xₘᶜₚ</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Normalised x-coordinate of thumb metacarpophalangeal (MCP) joint</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δ</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Lateral distance threshold for thumb extension (δ = 0.1)</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ext(f)</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Binary extension state of finger f ∈ {thumb, index, middle, ring, little}</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E</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Extension vector [ext(thumb), ext(index), ext(middle), ext(ring), ext(little)]</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N</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Temporal stability window size (N = 10)</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μ</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Minimum agreement fraction for gesture confirmation (μ = 0.6)</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Tᶜᵒᵒᵬ</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Cooldown gate period (Tᶜᵒᵒᵬ = 30 frames)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fᵢ</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128-dimensional dlib face encoding vector for event i</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d</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Euclidean distance between query and enrolled face encodings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τ</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Face distance acceptance threshold (τ = 0.55)</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V</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Batch authentication window size (V = 5)</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K</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Minimum votes required for authentication (K = 3)</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Φ</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Emergency trigger frame threshold (Φ = 75)</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Lₛₜₐᵍᵉ</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Latency of pipeline stage stage (ms)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TAR / FAR / FRR</w:t>
            </w:r>
          </w:p>
        </w:tc>
        <w:tc>
          <w:tcPr>
            <w:tcW w:type="dxa" w:w="70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True Acceptance Rate / False Acceptance Rate / False Rejection Rate</w:t>
            </w:r>
          </w:p>
        </w:tc>
      </w:tr>
    </w:tbl>
    <w:p>
      <w:pPr>
        <w:spacing w:after="80" w:before="0"/>
        <w:jc w:val="both"/>
      </w:pPr>
      <w:r>
        <w:rPr>
          <w:rFonts w:ascii="Times New Roman" w:cs="Times New Roman" w:eastAsia="Times New Roman" w:hAnsi="Times New Roman"/>
          <w:sz w:val="20"/>
          <w:szCs w:val="20"/>
        </w:rPr>
        <w:t xml:space="preserve"/>
      </w:r>
    </w:p>
    <w:p>
      <w:pPr>
        <w:spacing w:after="80" w:before="180"/>
        <w:jc w:val="left"/>
      </w:pPr>
      <w:r>
        <w:rPr>
          <w:rFonts w:ascii="Times New Roman" w:cs="Times New Roman" w:eastAsia="Times New Roman" w:hAnsi="Times New Roman"/>
          <w:b/>
          <w:bCs/>
          <w:sz w:val="20"/>
          <w:szCs w:val="20"/>
        </w:rPr>
        <w:t xml:space="preserve">4.1  Luminance Detection and CLAHE Preprocessing</w:t>
      </w:r>
    </w:p>
    <w:p>
      <w:pPr>
        <w:spacing w:after="80" w:before="80"/>
        <w:jc w:val="both"/>
      </w:pPr>
      <w:r>
        <w:rPr>
          <w:rFonts w:ascii="Times New Roman" w:cs="Times New Roman" w:eastAsia="Times New Roman" w:hAnsi="Times New Roman"/>
          <w:sz w:val="20"/>
          <w:szCs w:val="20"/>
        </w:rPr>
        <w:t xml:space="preserve">Each frame is first converted from BGR to the CIE LAB colour space. The L-channel is isolated and its mean luminance is computed across all N_px pixels in the frame:</w:t>
      </w:r>
    </w:p>
    <w:p>
      <w:pPr>
        <w:spacing w:after="100" w:before="100"/>
        <w:ind w:left="720"/>
        <w:jc w:val="left"/>
      </w:pPr>
      <w:r>
        <w:rPr>
          <w:rFonts w:ascii="Times New Roman" w:cs="Times New Roman" w:eastAsia="Times New Roman" w:hAnsi="Times New Roman"/>
          <w:i/>
          <w:iCs/>
          <w:sz w:val="20"/>
          <w:szCs w:val="20"/>
        </w:rPr>
        <w:t xml:space="preserve">L̅ = (1 / Nₚₜ) × Σᵢ Lᵢ</w:t>
      </w:r>
      <w:r>
        <w:rPr>
          <w:rFonts w:ascii="Times New Roman" w:cs="Times New Roman" w:eastAsia="Times New Roman" w:hAnsi="Times New Roman"/>
          <w:sz w:val="20"/>
          <w:szCs w:val="20"/>
        </w:rPr>
        <w:t xml:space="preserve">						(1)</w:t>
      </w:r>
    </w:p>
    <w:p>
      <w:pPr>
        <w:spacing w:after="80" w:before="80"/>
        <w:jc w:val="both"/>
      </w:pPr>
      <w:r>
        <w:rPr>
          <w:rFonts w:ascii="Times New Roman" w:cs="Times New Roman" w:eastAsia="Times New Roman" w:hAnsi="Times New Roman"/>
          <w:sz w:val="20"/>
          <w:szCs w:val="20"/>
        </w:rPr>
        <w:t xml:space="preserve">where Lᵢ is the L-channel value of the i-th pixel. CLAHE preprocessing is applied conditionally based on a luminance threshold θ:</w:t>
      </w:r>
    </w:p>
    <w:p>
      <w:pPr>
        <w:spacing w:after="100" w:before="100"/>
        <w:ind w:left="720"/>
        <w:jc w:val="left"/>
      </w:pPr>
      <w:r>
        <w:rPr>
          <w:rFonts w:ascii="Times New Roman" w:cs="Times New Roman" w:eastAsia="Times New Roman" w:hAnsi="Times New Roman"/>
          <w:i/>
          <w:iCs/>
          <w:sz w:val="20"/>
          <w:szCs w:val="20"/>
        </w:rPr>
        <w:t xml:space="preserve">Apply CLAHE if and only if  L̅ &lt; θ,    θ = 30</w:t>
      </w:r>
      <w:r>
        <w:rPr>
          <w:rFonts w:ascii="Times New Roman" w:cs="Times New Roman" w:eastAsia="Times New Roman" w:hAnsi="Times New Roman"/>
          <w:sz w:val="20"/>
          <w:szCs w:val="20"/>
        </w:rPr>
        <w:t xml:space="preserve">						(2)</w:t>
      </w:r>
    </w:p>
    <w:p>
      <w:pPr>
        <w:spacing w:after="80" w:before="80"/>
        <w:jc w:val="both"/>
      </w:pPr>
      <w:r>
        <w:rPr>
          <w:rFonts w:ascii="Times New Roman" w:cs="Times New Roman" w:eastAsia="Times New Roman" w:hAnsi="Times New Roman"/>
          <w:sz w:val="20"/>
          <w:szCs w:val="20"/>
        </w:rPr>
        <w:t xml:space="preserve">When triggered, CLAHE operates with clip limit α = 2.0 on an 8×8 tile grid. The clip limit prevents over-amplification of noise in homogeneous regions, while the 8×8 grid ensures spatially adaptive contrast enhancement. The enhanced luminance of tile block b with histogram H_b is defined as:</w:t>
      </w:r>
    </w:p>
    <w:p>
      <w:pPr>
        <w:spacing w:after="100" w:before="100"/>
        <w:ind w:left="720"/>
        <w:jc w:val="left"/>
      </w:pPr>
      <w:r>
        <w:rPr>
          <w:rFonts w:ascii="Times New Roman" w:cs="Times New Roman" w:eastAsia="Times New Roman" w:hAnsi="Times New Roman"/>
          <w:i/>
          <w:iCs/>
          <w:sz w:val="20"/>
          <w:szCs w:val="20"/>
        </w:rPr>
        <w:t xml:space="preserve">Lᵉⁿᴴ = CLAHE(L, α=2.0, T=8) → Lᵉⁿᴴ ∈ [0, 100]</w:t>
      </w:r>
      <w:r>
        <w:rPr>
          <w:rFonts w:ascii="Times New Roman" w:cs="Times New Roman" w:eastAsia="Times New Roman" w:hAnsi="Times New Roman"/>
          <w:sz w:val="20"/>
          <w:szCs w:val="20"/>
        </w:rPr>
        <w:t xml:space="preserve">						(3)</w:t>
      </w:r>
    </w:p>
    <w:p>
      <w:pPr>
        <w:spacing w:after="80" w:before="80"/>
        <w:jc w:val="both"/>
      </w:pPr>
      <w:r>
        <w:rPr>
          <w:rFonts w:ascii="Times New Roman" w:cs="Times New Roman" w:eastAsia="Times New Roman" w:hAnsi="Times New Roman"/>
          <w:sz w:val="20"/>
          <w:szCs w:val="20"/>
        </w:rPr>
        <w:t xml:space="preserve">The enhanced L-channel is merged back with the A and B channels before conversion to BGR for MediaPipe ingestion. This stage adds a median overhead of 30.4 ms including frame capture (Table 6).</w:t>
      </w:r>
    </w:p>
    <w:p>
      <w:pPr>
        <w:spacing w:after="80" w:before="180"/>
        <w:jc w:val="left"/>
      </w:pPr>
      <w:r>
        <w:rPr>
          <w:rFonts w:ascii="Times New Roman" w:cs="Times New Roman" w:eastAsia="Times New Roman" w:hAnsi="Times New Roman"/>
          <w:b/>
          <w:bCs/>
          <w:sz w:val="20"/>
          <w:szCs w:val="20"/>
        </w:rPr>
        <w:t xml:space="preserve">4.2  Landmark Extraction and Gesture Classification</w:t>
      </w:r>
    </w:p>
    <w:p>
      <w:pPr>
        <w:spacing w:after="80" w:before="80"/>
        <w:jc w:val="both"/>
      </w:pPr>
      <w:r>
        <w:rPr>
          <w:rFonts w:ascii="Times New Roman" w:cs="Times New Roman" w:eastAsia="Times New Roman" w:hAnsi="Times New Roman"/>
          <w:sz w:val="20"/>
          <w:szCs w:val="20"/>
        </w:rPr>
        <w:t xml:space="preserve">MediaPipe Hands extracts 21 normalised (x, y, z) landmarks per detected hand. The classifier maps these landmarks to one of six gesture classes using a rule-based extension vector. Finger extension for fingers 2–5 (index through little) is determined by comparing tip and PIP y-coordinates (in the normalised image frame, larger y values are lower in the image):</w:t>
      </w:r>
    </w:p>
    <w:p>
      <w:pPr>
        <w:spacing w:after="100" w:before="100"/>
        <w:ind w:left="720"/>
        <w:jc w:val="left"/>
      </w:pPr>
      <w:r>
        <w:rPr>
          <w:rFonts w:ascii="Times New Roman" w:cs="Times New Roman" w:eastAsia="Times New Roman" w:hAnsi="Times New Roman"/>
          <w:i/>
          <w:iCs/>
          <w:sz w:val="20"/>
          <w:szCs w:val="20"/>
        </w:rPr>
        <w:t xml:space="preserve">ext(f) = 1  if  yₜᵢₚ(f) &lt; yₚᴵₚ(f),   else  ext(f) = 0</w:t>
      </w:r>
      <w:r>
        <w:rPr>
          <w:rFonts w:ascii="Times New Roman" w:cs="Times New Roman" w:eastAsia="Times New Roman" w:hAnsi="Times New Roman"/>
          <w:sz w:val="20"/>
          <w:szCs w:val="20"/>
        </w:rPr>
        <w:t xml:space="preserve">						(4)</w:t>
      </w:r>
    </w:p>
    <w:p>
      <w:pPr>
        <w:spacing w:after="80" w:before="80"/>
        <w:jc w:val="both"/>
      </w:pPr>
      <w:r>
        <w:rPr>
          <w:rFonts w:ascii="Times New Roman" w:cs="Times New Roman" w:eastAsia="Times New Roman" w:hAnsi="Times New Roman"/>
          <w:sz w:val="20"/>
          <w:szCs w:val="20"/>
        </w:rPr>
        <w:t xml:space="preserve">The thumb uses a lateral distance criterion because it extends horizontally rather than vertically:</w:t>
      </w:r>
    </w:p>
    <w:p>
      <w:pPr>
        <w:spacing w:after="100" w:before="100"/>
        <w:ind w:left="720"/>
        <w:jc w:val="left"/>
      </w:pPr>
      <w:r>
        <w:rPr>
          <w:rFonts w:ascii="Times New Roman" w:cs="Times New Roman" w:eastAsia="Times New Roman" w:hAnsi="Times New Roman"/>
          <w:i/>
          <w:iCs/>
          <w:sz w:val="20"/>
          <w:szCs w:val="20"/>
        </w:rPr>
        <w:t xml:space="preserve">ext(thumb) = 1  if  |xₜᵢₚ − xₘᶜₚ| &gt; δ,   δ = 0.1,   else  0</w:t>
      </w:r>
      <w:r>
        <w:rPr>
          <w:rFonts w:ascii="Times New Roman" w:cs="Times New Roman" w:eastAsia="Times New Roman" w:hAnsi="Times New Roman"/>
          <w:sz w:val="20"/>
          <w:szCs w:val="20"/>
        </w:rPr>
        <w:t xml:space="preserve">						(5)</w:t>
      </w:r>
    </w:p>
    <w:p>
      <w:pPr>
        <w:spacing w:after="80" w:before="80"/>
        <w:jc w:val="both"/>
      </w:pPr>
      <w:r>
        <w:rPr>
          <w:rFonts w:ascii="Times New Roman" w:cs="Times New Roman" w:eastAsia="Times New Roman" w:hAnsi="Times New Roman"/>
          <w:sz w:val="20"/>
          <w:szCs w:val="20"/>
        </w:rPr>
        <w:t xml:space="preserve">The extension state of all five fingers is concatenated into a five-element binary vector that uniquely encodes each supported gesture:</w:t>
      </w:r>
    </w:p>
    <w:p>
      <w:pPr>
        <w:spacing w:after="100" w:before="100"/>
        <w:ind w:left="720"/>
        <w:jc w:val="left"/>
      </w:pPr>
      <w:r>
        <w:rPr>
          <w:rFonts w:ascii="Times New Roman" w:cs="Times New Roman" w:eastAsia="Times New Roman" w:hAnsi="Times New Roman"/>
          <w:i/>
          <w:iCs/>
          <w:sz w:val="20"/>
          <w:szCs w:val="20"/>
        </w:rPr>
        <w:t xml:space="preserve">E = [ext(thumb), ext(index), ext(middle), ext(ring), ext(little)]</w:t>
      </w:r>
      <w:r>
        <w:rPr>
          <w:rFonts w:ascii="Times New Roman" w:cs="Times New Roman" w:eastAsia="Times New Roman" w:hAnsi="Times New Roman"/>
          <w:sz w:val="20"/>
          <w:szCs w:val="20"/>
        </w:rPr>
        <w:t xml:space="preserve">						(6)</w:t>
      </w:r>
    </w:p>
    <w:p>
      <w:pPr>
        <w:spacing w:after="80" w:before="80"/>
        <w:jc w:val="both"/>
      </w:pPr>
      <w:r>
        <w:rPr>
          <w:rFonts w:ascii="Times New Roman" w:cs="Times New Roman" w:eastAsia="Times New Roman" w:hAnsi="Times New Roman"/>
          <w:sz w:val="20"/>
          <w:szCs w:val="20"/>
        </w:rPr>
        <w:t xml:space="preserve">For example, a Thumbs Up maps to E = [1,0,0,0,0] and a Peace Sign maps to E = [0,1,1,0,0]. The mapping is evaluated in O(1) per frame using a Python dictionary lookup. Median classification latency is less than 1 ms (Table 6).</w:t>
      </w:r>
    </w:p>
    <w:p>
      <w:pPr>
        <w:spacing w:after="80" w:before="180"/>
        <w:jc w:val="left"/>
      </w:pPr>
      <w:r>
        <w:rPr>
          <w:rFonts w:ascii="Times New Roman" w:cs="Times New Roman" w:eastAsia="Times New Roman" w:hAnsi="Times New Roman"/>
          <w:b/>
          <w:bCs/>
          <w:sz w:val="20"/>
          <w:szCs w:val="20"/>
        </w:rPr>
        <w:t xml:space="preserve">4.3  Temporal Stability Buffer</w:t>
      </w:r>
    </w:p>
    <w:p>
      <w:pPr>
        <w:spacing w:after="80" w:before="80"/>
        <w:jc w:val="both"/>
      </w:pPr>
      <w:r>
        <w:rPr>
          <w:rFonts w:ascii="Times New Roman" w:cs="Times New Roman" w:eastAsia="Times New Roman" w:hAnsi="Times New Roman"/>
          <w:sz w:val="20"/>
          <w:szCs w:val="20"/>
        </w:rPr>
        <w:t xml:space="preserve">Raw per-frame gesture labels are noisy at the boundary between two hand positions. A circular buffer of N = 10 recent labels is maintained. A gesture is confirmed when the modal label appears in at least a fraction μ of the buffer entries:</w:t>
      </w:r>
    </w:p>
    <w:p>
      <w:pPr>
        <w:spacing w:after="100" w:before="100"/>
        <w:ind w:left="720"/>
        <w:jc w:val="left"/>
      </w:pPr>
      <w:r>
        <w:rPr>
          <w:rFonts w:ascii="Times New Roman" w:cs="Times New Roman" w:eastAsia="Times New Roman" w:hAnsi="Times New Roman"/>
          <w:i/>
          <w:iCs/>
          <w:sz w:val="20"/>
          <w:szCs w:val="20"/>
        </w:rPr>
        <w:t xml:space="preserve">Ĉ = 1  if  count(modal label, buffer) / N ≥ μ,   μ = 0.6</w:t>
      </w:r>
      <w:r>
        <w:rPr>
          <w:rFonts w:ascii="Times New Roman" w:cs="Times New Roman" w:eastAsia="Times New Roman" w:hAnsi="Times New Roman"/>
          <w:sz w:val="20"/>
          <w:szCs w:val="20"/>
        </w:rPr>
        <w:t xml:space="preserve">						(7)</w:t>
      </w:r>
    </w:p>
    <w:p>
      <w:pPr>
        <w:spacing w:after="80" w:before="80"/>
        <w:jc w:val="both"/>
      </w:pPr>
      <w:r>
        <w:rPr>
          <w:rFonts w:ascii="Times New Roman" w:cs="Times New Roman" w:eastAsia="Times New Roman" w:hAnsi="Times New Roman"/>
          <w:sz w:val="20"/>
          <w:szCs w:val="20"/>
        </w:rPr>
        <w:t xml:space="preserve">A cooldown gate prevents repeated dispatch from a single sustained gesture. A command is dispatched only if Tᶜᵒᵒᵬ frames have elapsed since the last dispatch:</w:t>
      </w:r>
    </w:p>
    <w:p>
      <w:pPr>
        <w:spacing w:after="100" w:before="100"/>
        <w:ind w:left="720"/>
        <w:jc w:val="left"/>
      </w:pPr>
      <w:r>
        <w:rPr>
          <w:rFonts w:ascii="Times New Roman" w:cs="Times New Roman" w:eastAsia="Times New Roman" w:hAnsi="Times New Roman"/>
          <w:i/>
          <w:iCs/>
          <w:sz w:val="20"/>
          <w:szCs w:val="20"/>
        </w:rPr>
        <w:t xml:space="preserve">Dispatch if  (tⁿₒᵂ − tᵬₐₛₜ) &gt; Tᶜᵒᵒᵬ,   Tᶜᵒᵒᵬ = 30 frames</w:t>
      </w:r>
      <w:r>
        <w:rPr>
          <w:rFonts w:ascii="Times New Roman" w:cs="Times New Roman" w:eastAsia="Times New Roman" w:hAnsi="Times New Roman"/>
          <w:sz w:val="20"/>
          <w:szCs w:val="20"/>
        </w:rPr>
        <w:t xml:space="preserve">						(8)</w:t>
      </w:r>
    </w:p>
    <w:p>
      <w:pPr>
        <w:spacing w:after="80" w:before="80"/>
        <w:jc w:val="both"/>
      </w:pPr>
      <w:r>
        <w:rPr>
          <w:rFonts w:ascii="Times New Roman" w:cs="Times New Roman" w:eastAsia="Times New Roman" w:hAnsi="Times New Roman"/>
          <w:sz w:val="20"/>
          <w:szCs w:val="20"/>
        </w:rPr>
        <w:t xml:space="preserve">At 30 fps, the 30-frame cooldown corresponds to a 1-second inter-command gap. Experimental evaluation of buffer parameters is reported in Section 5.3.</w:t>
      </w:r>
    </w:p>
    <w:p>
      <w:pPr>
        <w:spacing w:after="80" w:before="180"/>
        <w:jc w:val="left"/>
      </w:pPr>
      <w:r>
        <w:rPr>
          <w:rFonts w:ascii="Times New Roman" w:cs="Times New Roman" w:eastAsia="Times New Roman" w:hAnsi="Times New Roman"/>
          <w:b/>
          <w:bCs/>
          <w:sz w:val="20"/>
          <w:szCs w:val="20"/>
        </w:rPr>
        <w:t xml:space="preserve">4.4  Face Authentication</w:t>
      </w:r>
    </w:p>
    <w:p>
      <w:pPr>
        <w:spacing w:after="80" w:before="80"/>
        <w:jc w:val="both"/>
      </w:pPr>
      <w:r>
        <w:rPr>
          <w:rFonts w:ascii="Times New Roman" w:cs="Times New Roman" w:eastAsia="Times New Roman" w:hAnsi="Times New Roman"/>
          <w:sz w:val="20"/>
          <w:szCs w:val="20"/>
        </w:rPr>
        <w:t xml:space="preserve">After gesture confirmation and before command dispatch, the system verifies the identity of the operator to prevent unauthorised control. The dlib ResNet-v1 model produces a 128-dimensional encoding f for each detected face. The Euclidean distance between the query encoding and the enrolled reference is computed as:</w:t>
      </w:r>
    </w:p>
    <w:p>
      <w:pPr>
        <w:spacing w:after="100" w:before="100"/>
        <w:ind w:left="720"/>
        <w:jc w:val="left"/>
      </w:pPr>
      <w:r>
        <w:rPr>
          <w:rFonts w:ascii="Times New Roman" w:cs="Times New Roman" w:eastAsia="Times New Roman" w:hAnsi="Times New Roman"/>
          <w:i/>
          <w:iCs/>
          <w:sz w:val="20"/>
          <w:szCs w:val="20"/>
        </w:rPr>
        <w:t xml:space="preserve">d = ‖ fᵤᵘᵉʳʸ − fᵉⁿʳᵒᵬᵬᵉᵈ ‖₂</w:t>
      </w:r>
      <w:r>
        <w:rPr>
          <w:rFonts w:ascii="Times New Roman" w:cs="Times New Roman" w:eastAsia="Times New Roman" w:hAnsi="Times New Roman"/>
          <w:sz w:val="20"/>
          <w:szCs w:val="20"/>
        </w:rPr>
        <w:t xml:space="preserve">						(9)</w:t>
      </w:r>
    </w:p>
    <w:p>
      <w:pPr>
        <w:spacing w:after="80" w:before="80"/>
        <w:jc w:val="both"/>
      </w:pPr>
      <w:r>
        <w:rPr>
          <w:rFonts w:ascii="Times New Roman" w:cs="Times New Roman" w:eastAsia="Times New Roman" w:hAnsi="Times New Roman"/>
          <w:sz w:val="20"/>
          <w:szCs w:val="20"/>
        </w:rPr>
        <w:t xml:space="preserve">A single recognition event is marked as a match if:</w:t>
      </w:r>
    </w:p>
    <w:p>
      <w:pPr>
        <w:spacing w:after="100" w:before="100"/>
        <w:ind w:left="720"/>
        <w:jc w:val="left"/>
      </w:pPr>
      <w:r>
        <w:rPr>
          <w:rFonts w:ascii="Times New Roman" w:cs="Times New Roman" w:eastAsia="Times New Roman" w:hAnsi="Times New Roman"/>
          <w:i/>
          <w:iCs/>
          <w:sz w:val="20"/>
          <w:szCs w:val="20"/>
        </w:rPr>
        <w:t xml:space="preserve">mₖ = 1  if  dₖ &lt; τ,   τ = 0.55,   else  mₖ = 0</w:t>
      </w:r>
      <w:r>
        <w:rPr>
          <w:rFonts w:ascii="Times New Roman" w:cs="Times New Roman" w:eastAsia="Times New Roman" w:hAnsi="Times New Roman"/>
          <w:sz w:val="20"/>
          <w:szCs w:val="20"/>
        </w:rPr>
        <w:t xml:space="preserve">						(10)</w:t>
      </w:r>
    </w:p>
    <w:p>
      <w:pPr>
        <w:spacing w:after="80" w:before="80"/>
        <w:jc w:val="both"/>
      </w:pPr>
      <w:r>
        <w:rPr>
          <w:rFonts w:ascii="Times New Roman" w:cs="Times New Roman" w:eastAsia="Times New Roman" w:hAnsi="Times New Roman"/>
          <w:sz w:val="20"/>
          <w:szCs w:val="20"/>
        </w:rPr>
        <w:t xml:space="preserve">To reduce FAR from a single-event decision, authentication employs batch voting over V = 5 consecutive recognition events:</w:t>
      </w:r>
    </w:p>
    <w:p>
      <w:pPr>
        <w:spacing w:after="100" w:before="100"/>
        <w:ind w:left="720"/>
        <w:jc w:val="left"/>
      </w:pPr>
      <w:r>
        <w:rPr>
          <w:rFonts w:ascii="Times New Roman" w:cs="Times New Roman" w:eastAsia="Times New Roman" w:hAnsi="Times New Roman"/>
          <w:i/>
          <w:iCs/>
          <w:sz w:val="20"/>
          <w:szCs w:val="20"/>
        </w:rPr>
        <w:t xml:space="preserve">AUTH = 1  if  Σₖ mₖ ≥ K,   V = 5,   K = 3</w:t>
      </w:r>
      <w:r>
        <w:rPr>
          <w:rFonts w:ascii="Times New Roman" w:cs="Times New Roman" w:eastAsia="Times New Roman" w:hAnsi="Times New Roman"/>
          <w:sz w:val="20"/>
          <w:szCs w:val="20"/>
        </w:rPr>
        <w:t xml:space="preserve">						(11)</w:t>
      </w:r>
    </w:p>
    <w:p>
      <w:pPr>
        <w:spacing w:after="80" w:before="80"/>
        <w:jc w:val="both"/>
      </w:pPr>
      <w:r>
        <w:rPr>
          <w:rFonts w:ascii="Times New Roman" w:cs="Times New Roman" w:eastAsia="Times New Roman" w:hAnsi="Times New Roman"/>
          <w:sz w:val="20"/>
          <w:szCs w:val="20"/>
        </w:rPr>
        <w:t xml:space="preserve">This majority-voting scheme requires at least 3 matches in 5 consecutive attempts before a command is dispatched. At a per-event face encoding latency of approximately 100 ms on M1 ARM64 (Section 5.4), the batch window adds at most 500 ms to the first activation after operator presence is confirmed.</w:t>
      </w:r>
    </w:p>
    <w:p>
      <w:pPr>
        <w:spacing w:after="80" w:before="180"/>
        <w:jc w:val="left"/>
      </w:pPr>
      <w:r>
        <w:rPr>
          <w:rFonts w:ascii="Times New Roman" w:cs="Times New Roman" w:eastAsia="Times New Roman" w:hAnsi="Times New Roman"/>
          <w:b/>
          <w:bCs/>
          <w:sz w:val="20"/>
          <w:szCs w:val="20"/>
        </w:rPr>
        <w:t xml:space="preserve">4.5  Emergency Subsystem</w:t>
      </w:r>
    </w:p>
    <w:p>
      <w:pPr>
        <w:spacing w:after="80" w:before="80"/>
        <w:jc w:val="both"/>
      </w:pPr>
      <w:r>
        <w:rPr>
          <w:rFonts w:ascii="Times New Roman" w:cs="Times New Roman" w:eastAsia="Times New Roman" w:hAnsi="Times New Roman"/>
          <w:sz w:val="20"/>
          <w:szCs w:val="20"/>
        </w:rPr>
        <w:t xml:space="preserve">The Three-Fingers gesture triggers an emergency alert when held continuously for Φ = 75 consecutive frames, corresponding to 2.5 s at 30 fps. The trigger condition is:</w:t>
      </w:r>
    </w:p>
    <w:p>
      <w:pPr>
        <w:spacing w:after="100" w:before="100"/>
        <w:ind w:left="720"/>
        <w:jc w:val="left"/>
      </w:pPr>
      <w:r>
        <w:rPr>
          <w:rFonts w:ascii="Times New Roman" w:cs="Times New Roman" w:eastAsia="Times New Roman" w:hAnsi="Times New Roman"/>
          <w:i/>
          <w:iCs/>
          <w:sz w:val="20"/>
          <w:szCs w:val="20"/>
        </w:rPr>
        <w:t xml:space="preserve">Φ = 75  consecutive frames with E = [0,1,1,1,0]</w:t>
      </w:r>
      <w:r>
        <w:rPr>
          <w:rFonts w:ascii="Times New Roman" w:cs="Times New Roman" w:eastAsia="Times New Roman" w:hAnsi="Times New Roman"/>
          <w:sz w:val="20"/>
          <w:szCs w:val="20"/>
        </w:rPr>
        <w:t xml:space="preserve">						(12)</w:t>
      </w:r>
    </w:p>
    <w:p>
      <w:pPr>
        <w:spacing w:after="80" w:before="80"/>
        <w:jc w:val="both"/>
      </w:pPr>
      <w:r>
        <w:rPr>
          <w:rFonts w:ascii="Times New Roman" w:cs="Times New Roman" w:eastAsia="Times New Roman" w:hAnsi="Times New Roman"/>
          <w:sz w:val="20"/>
          <w:szCs w:val="20"/>
        </w:rPr>
        <w:t xml:space="preserve">Upon trigger, a Twilio REST API call dispatches both an SMS message and a voice call to a pre-registered emergency contact number. The emergency path bypasses the Voice Monkey step and the cooldown gate to maximise responsiveness.</w:t>
      </w:r>
    </w:p>
    <w:p>
      <w:pPr>
        <w:spacing w:after="80" w:before="180"/>
        <w:jc w:val="left"/>
      </w:pPr>
      <w:r>
        <w:rPr>
          <w:rFonts w:ascii="Times New Roman" w:cs="Times New Roman" w:eastAsia="Times New Roman" w:hAnsi="Times New Roman"/>
          <w:b/>
          <w:bCs/>
          <w:sz w:val="20"/>
          <w:szCs w:val="20"/>
        </w:rPr>
        <w:t xml:space="preserve">4.6  Cloud Integration</w:t>
      </w:r>
    </w:p>
    <w:p>
      <w:pPr>
        <w:spacing w:after="80" w:before="80"/>
        <w:jc w:val="both"/>
      </w:pPr>
      <w:r>
        <w:rPr>
          <w:rFonts w:ascii="Times New Roman" w:cs="Times New Roman" w:eastAsia="Times New Roman" w:hAnsi="Times New Roman"/>
          <w:sz w:val="20"/>
          <w:szCs w:val="20"/>
        </w:rPr>
        <w:t xml:space="preserve">Authenticated commands are dispatched to the Flask REST server via HTTP POST. The Flask route concurrently calls the Voice Monkey proactive notification API to trigger the corresponding Alexa Routine:</w:t>
      </w:r>
    </w:p>
    <w:p>
      <w:pPr>
        <w:spacing w:after="100" w:before="100"/>
        <w:ind w:left="720"/>
        <w:jc w:val="left"/>
      </w:pPr>
      <w:r>
        <w:rPr>
          <w:rFonts w:ascii="Times New Roman" w:cs="Times New Roman" w:eastAsia="Times New Roman" w:hAnsi="Times New Roman"/>
          <w:i/>
          <w:iCs/>
          <w:sz w:val="20"/>
          <w:szCs w:val="20"/>
        </w:rPr>
        <w:t xml:space="preserve">GET /v1/trigger?monkey_id=ID&amp;voice_monkey_token=TOKEN&amp;action=ACTION</w:t>
      </w:r>
      <w:r>
        <w:rPr>
          <w:rFonts w:ascii="Times New Roman" w:cs="Times New Roman" w:eastAsia="Times New Roman" w:hAnsi="Times New Roman"/>
          <w:sz w:val="20"/>
          <w:szCs w:val="20"/>
        </w:rPr>
        <w:t xml:space="preserve">						(13)</w:t>
      </w:r>
    </w:p>
    <w:p>
      <w:pPr>
        <w:spacing w:after="80" w:before="80"/>
        <w:jc w:val="both"/>
      </w:pPr>
      <w:r>
        <w:rPr>
          <w:rFonts w:ascii="Times New Roman" w:cs="Times New Roman" w:eastAsia="Times New Roman" w:hAnsi="Times New Roman"/>
          <w:sz w:val="20"/>
          <w:szCs w:val="20"/>
        </w:rPr>
        <w:t xml:space="preserve">The Flask route simultaneously POSTs to AWS API Gateway, which proxies the request to Lambda. The Lambda function inspects the event to route between Alexa Skill invocations and direct Flask calls:</w:t>
      </w:r>
    </w:p>
    <w:p>
      <w:pPr>
        <w:spacing w:after="100" w:before="100"/>
        <w:ind w:left="720"/>
        <w:jc w:val="left"/>
      </w:pPr>
      <w:r>
        <w:rPr>
          <w:rFonts w:ascii="Times New Roman" w:cs="Times New Roman" w:eastAsia="Times New Roman" w:hAnsi="Times New Roman"/>
          <w:i/>
          <w:iCs/>
          <w:sz w:val="20"/>
          <w:szCs w:val="20"/>
        </w:rPr>
        <w:t xml:space="preserve">route = Alexa handler  if  'version' ∈ event,   else  DynamoDB log</w:t>
      </w:r>
      <w:r>
        <w:rPr>
          <w:rFonts w:ascii="Times New Roman" w:cs="Times New Roman" w:eastAsia="Times New Roman" w:hAnsi="Times New Roman"/>
          <w:sz w:val="20"/>
          <w:szCs w:val="20"/>
        </w:rPr>
        <w:t xml:space="preserve">						(14)</w:t>
      </w:r>
    </w:p>
    <w:p>
      <w:pPr>
        <w:spacing w:after="80" w:before="80"/>
        <w:jc w:val="both"/>
      </w:pPr>
      <w:r>
        <w:rPr>
          <w:rFonts w:ascii="Times New Roman" w:cs="Times New Roman" w:eastAsia="Times New Roman" w:hAnsi="Times New Roman"/>
          <w:sz w:val="20"/>
          <w:szCs w:val="20"/>
        </w:rPr>
        <w:t xml:space="preserve">DynamoDB records include command string, gesture label, action description, UTC timestamp, date, and human-readable local time. The GestureStatusIntent and GestureCountIntent Alexa Skill handlers read from DynamoDB to respond to voice queries such as “Alexa, ask gesture control what was the last gesture.”</w:t>
      </w:r>
    </w:p>
    <w:p>
      <w:pPr>
        <w:spacing w:after="120" w:before="240"/>
        <w:jc w:val="left"/>
      </w:pPr>
      <w:r>
        <w:rPr>
          <w:rFonts w:ascii="Times New Roman" w:cs="Times New Roman" w:eastAsia="Times New Roman" w:hAnsi="Times New Roman"/>
          <w:b/>
          <w:bCs/>
          <w:sz w:val="24"/>
          <w:szCs w:val="24"/>
        </w:rPr>
        <w:t xml:space="preserve">5.  Experimental Evaluation</w:t>
      </w:r>
    </w:p>
    <w:p>
      <w:pPr>
        <w:spacing w:after="80" w:before="180"/>
        <w:jc w:val="left"/>
      </w:pPr>
      <w:r>
        <w:rPr>
          <w:rFonts w:ascii="Times New Roman" w:cs="Times New Roman" w:eastAsia="Times New Roman" w:hAnsi="Times New Roman"/>
          <w:b/>
          <w:bCs/>
          <w:sz w:val="20"/>
          <w:szCs w:val="20"/>
        </w:rPr>
        <w:t xml:space="preserve">5.1  Experimental Setup</w:t>
      </w:r>
    </w:p>
    <w:p>
      <w:pPr>
        <w:spacing w:after="80" w:before="80"/>
        <w:jc w:val="both"/>
      </w:pPr>
      <w:r>
        <w:rPr>
          <w:rFonts w:ascii="Times New Roman" w:cs="Times New Roman" w:eastAsia="Times New Roman" w:hAnsi="Times New Roman"/>
          <w:sz w:val="20"/>
          <w:szCs w:val="20"/>
        </w:rPr>
        <w:t xml:space="preserve">All experiments were conducted on a 2021 Apple MacBook Pro (M1 ARM64, 8 GB unified memory) running macOS 14 with Python 3.11. The webcam was a standard 1080p USB camera positioned 60 cm from the subject. Lighting conditions were standardised as: bright (&gt;200 lux, overhead fluorescent), normal (50–200 lux, ambient indoor), and low-light (&lt;50 lux, single desk lamp, 45° angle). Fig. 2 shows the physical experimental setup, and Fig. 3 shows a screenshot of the live OpenCV detection window.</w:t>
      </w:r>
    </w:p>
    <w:p>
      <w:pPr>
        <w:pBdr>
          <w:top w:val="single" w:color="999999" w:sz="1"/>
          <w:bottom w:val="single" w:color="999999" w:sz="1"/>
          <w:left w:val="single" w:color="999999" w:sz="1"/>
          <w:right w:val="single" w:color="999999" w:sz="1"/>
        </w:pBdr>
        <w:spacing w:after="40" w:before="160"/>
        <w:jc w:val="center"/>
      </w:pPr>
      <w:r>
        <w:rPr>
          <w:rFonts w:ascii="Times New Roman" w:cs="Times New Roman" w:eastAsia="Times New Roman" w:hAnsi="Times New Roman"/>
          <w:i/>
          <w:iCs/>
          <w:color w:val="888888"/>
          <w:sz w:val="18"/>
          <w:szCs w:val="18"/>
        </w:rPr>
        <w:t xml:space="preserve">[INSERT Fig. 2: Physical experimental setup: webcam, Echo Dot, and subject at 60 cm]</w:t>
      </w:r>
    </w:p>
    <w:p>
      <w:pPr>
        <w:spacing w:after="160" w:before="60"/>
        <w:jc w:val="center"/>
      </w:pPr>
      <w:r>
        <w:rPr>
          <w:rFonts w:ascii="Times New Roman" w:cs="Times New Roman" w:eastAsia="Times New Roman" w:hAnsi="Times New Roman"/>
          <w:sz w:val="18"/>
          <w:szCs w:val="18"/>
        </w:rPr>
        <w:t xml:space="preserve">Fig. 2. Physical experimental setup: webcam, Echo Dot, and subject at 60 cm.</w:t>
      </w:r>
    </w:p>
    <w:p>
      <w:pPr>
        <w:pBdr>
          <w:top w:val="single" w:color="999999" w:sz="1"/>
          <w:bottom w:val="single" w:color="999999" w:sz="1"/>
          <w:left w:val="single" w:color="999999" w:sz="1"/>
          <w:right w:val="single" w:color="999999" w:sz="1"/>
        </w:pBdr>
        <w:spacing w:after="40" w:before="160"/>
        <w:jc w:val="center"/>
      </w:pPr>
      <w:r>
        <w:rPr>
          <w:rFonts w:ascii="Times New Roman" w:cs="Times New Roman" w:eastAsia="Times New Roman" w:hAnsi="Times New Roman"/>
          <w:i/>
          <w:iCs/>
          <w:color w:val="888888"/>
          <w:sz w:val="18"/>
          <w:szCs w:val="18"/>
        </w:rPr>
        <w:t xml:space="preserve">[INSERT Fig. 3: Live OpenCV window showing MediaPipe hand landmarks and confirmed gesture label]</w:t>
      </w:r>
    </w:p>
    <w:p>
      <w:pPr>
        <w:spacing w:after="160" w:before="60"/>
        <w:jc w:val="center"/>
      </w:pPr>
      <w:r>
        <w:rPr>
          <w:rFonts w:ascii="Times New Roman" w:cs="Times New Roman" w:eastAsia="Times New Roman" w:hAnsi="Times New Roman"/>
          <w:sz w:val="18"/>
          <w:szCs w:val="18"/>
        </w:rPr>
        <w:t xml:space="preserve">Fig. 3. Live OpenCV window showing MediaPipe hand landmarks and confirmed gesture label.</w:t>
      </w:r>
    </w:p>
    <w:p>
      <w:pPr>
        <w:spacing w:after="80" w:before="180"/>
        <w:jc w:val="left"/>
      </w:pPr>
      <w:r>
        <w:rPr>
          <w:rFonts w:ascii="Times New Roman" w:cs="Times New Roman" w:eastAsia="Times New Roman" w:hAnsi="Times New Roman"/>
          <w:b/>
          <w:bCs/>
          <w:sz w:val="20"/>
          <w:szCs w:val="20"/>
        </w:rPr>
        <w:t xml:space="preserve">5.2  Gesture Recognition Accuracy</w:t>
      </w:r>
    </w:p>
    <w:p>
      <w:pPr>
        <w:spacing w:after="80" w:before="80"/>
        <w:jc w:val="both"/>
      </w:pPr>
      <w:r>
        <w:rPr>
          <w:rFonts w:ascii="Times New Roman" w:cs="Times New Roman" w:eastAsia="Times New Roman" w:hAnsi="Times New Roman"/>
          <w:sz w:val="20"/>
          <w:szCs w:val="20"/>
        </w:rPr>
        <w:t xml:space="preserve">Each of the six gesture classes was performed 30 times per lighting condition by the same subject, yielding 540 total trials (30 × 6 × 3). Table 3 reports per-gesture accuracy and row/column means. Fig. 5 shows the heatmap generated from these results.</w:t>
      </w:r>
    </w:p>
    <w:p>
      <w:pPr>
        <w:spacing w:after="80" w:before="0"/>
        <w:jc w:val="both"/>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sz w:val="18"/>
          <w:szCs w:val="18"/>
        </w:rPr>
        <w:t xml:space="preserve">Table 3. Gesture recognition accuracy (%) by gesture class and lighting condition; 30 trials per cell.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1450"/>
        <w:gridCol w:w="1450"/>
        <w:gridCol w:w="2322"/>
      </w:tblGrid>
      <w:tr>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Gesture</w:t>
            </w:r>
          </w:p>
        </w:tc>
        <w:tc>
          <w:tcPr>
            <w:tcW w:type="dxa" w:w="145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Bright</w:t>
            </w:r>
          </w:p>
        </w:tc>
        <w:tc>
          <w:tcPr>
            <w:tcW w:type="dxa" w:w="145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Normal</w:t>
            </w:r>
          </w:p>
        </w:tc>
        <w:tc>
          <w:tcPr>
            <w:tcW w:type="dxa" w:w="145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Low-Light</w:t>
            </w:r>
          </w:p>
        </w:tc>
        <w:tc>
          <w:tcPr>
            <w:tcW w:type="dxa" w:w="2322"/>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Mean (%)</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Thumbs Up</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63.3</w:t>
            </w:r>
          </w:p>
        </w:tc>
        <w:tc>
          <w:tcPr>
            <w:tcW w:type="dxa" w:w="23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81.1</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Thumbs Down</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70.0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96.7</w:t>
            </w:r>
          </w:p>
        </w:tc>
        <w:tc>
          <w:tcPr>
            <w:tcW w:type="dxa" w:w="23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85.6</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Open Palm</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23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Closed Fist</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93.3</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96.7</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23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96.7</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Peace / V Sign</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23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Three Fingers</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23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Mean (%)</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92.2</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96.1</w:t>
            </w:r>
          </w:p>
        </w:tc>
        <w:tc>
          <w:tcPr>
            <w:tcW w:type="dxa" w:w="14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93.3</w:t>
            </w:r>
          </w:p>
        </w:tc>
        <w:tc>
          <w:tcPr>
            <w:tcW w:type="dxa" w:w="23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93.9</w:t>
            </w:r>
          </w:p>
        </w:tc>
      </w:tr>
    </w:tbl>
    <w:p>
      <w:pPr>
        <w:spacing w:after="80" w:before="0"/>
        <w:jc w:val="both"/>
      </w:pPr>
      <w:r>
        <w:rPr>
          <w:rFonts w:ascii="Times New Roman" w:cs="Times New Roman" w:eastAsia="Times New Roman" w:hAnsi="Times New Roman"/>
          <w:sz w:val="20"/>
          <w:szCs w:val="20"/>
        </w:rPr>
        <w:t xml:space="preserve"/>
      </w:r>
    </w:p>
    <w:p>
      <w:pPr>
        <w:spacing w:after="80" w:before="80"/>
        <w:jc w:val="both"/>
      </w:pPr>
      <w:r>
        <w:rPr>
          <w:rFonts w:ascii="Times New Roman" w:cs="Times New Roman" w:eastAsia="Times New Roman" w:hAnsi="Times New Roman"/>
          <w:sz w:val="20"/>
          <w:szCs w:val="20"/>
        </w:rPr>
        <w:t xml:space="preserve">The overall mean accuracy of 93.9% (507 correct out of 540 trials) exceeds the 90% target. Normal lighting produced the highest mean (96.1%), consistent with Wang et al.’s [5] observation that MediaPipe landmark detection is optimised for typical indoor illumination. The most challenging single cell is Thumbs Down under bright conditions (70.0%, 21/30 correct), where high specular reflectance on the dorsal hand surface appears to destabilise landmark positions for this specific pose. Three Fingers, Open Palm, and Peace Sign each achieved 100.0% across all conditions, confirming that spatially distinct extension vectors are trivially separable by the rule-based classifier.</w:t>
      </w:r>
    </w:p>
    <w:p>
      <w:pPr>
        <w:pBdr>
          <w:top w:val="single" w:color="999999" w:sz="1"/>
          <w:bottom w:val="single" w:color="999999" w:sz="1"/>
          <w:left w:val="single" w:color="999999" w:sz="1"/>
          <w:right w:val="single" w:color="999999" w:sz="1"/>
        </w:pBdr>
        <w:spacing w:after="40" w:before="160"/>
        <w:jc w:val="center"/>
      </w:pPr>
      <w:r>
        <w:rPr>
          <w:rFonts w:ascii="Times New Roman" w:cs="Times New Roman" w:eastAsia="Times New Roman" w:hAnsi="Times New Roman"/>
          <w:i/>
          <w:iCs/>
          <w:color w:val="888888"/>
          <w:sz w:val="18"/>
          <w:szCs w:val="18"/>
        </w:rPr>
        <w:t xml:space="preserve">[INSERT Fig. 5: Gesture accuracy heatmap across six gesture classes and three lighting conditions (from tests/results/fig5_gesture_accuracy_heatmap.png)]</w:t>
      </w:r>
    </w:p>
    <w:p>
      <w:pPr>
        <w:spacing w:after="160" w:before="60"/>
        <w:jc w:val="center"/>
      </w:pPr>
      <w:r>
        <w:rPr>
          <w:rFonts w:ascii="Times New Roman" w:cs="Times New Roman" w:eastAsia="Times New Roman" w:hAnsi="Times New Roman"/>
          <w:sz w:val="18"/>
          <w:szCs w:val="18"/>
        </w:rPr>
        <w:t xml:space="preserve">Fig. 5. Gesture accuracy heatmap across six gesture classes and three lighting conditions (from tests/results/fig5_gesture_accuracy_heatmap.png).</w:t>
      </w:r>
    </w:p>
    <w:p>
      <w:pPr>
        <w:spacing w:after="80" w:before="180"/>
        <w:jc w:val="left"/>
      </w:pPr>
      <w:r>
        <w:rPr>
          <w:rFonts w:ascii="Times New Roman" w:cs="Times New Roman" w:eastAsia="Times New Roman" w:hAnsi="Times New Roman"/>
          <w:b/>
          <w:bCs/>
          <w:sz w:val="20"/>
          <w:szCs w:val="20"/>
        </w:rPr>
        <w:t xml:space="preserve">5.3  Temporal Stability Buffer Analysis</w:t>
      </w:r>
    </w:p>
    <w:p>
      <w:pPr>
        <w:spacing w:after="80" w:before="80"/>
        <w:jc w:val="both"/>
      </w:pPr>
      <w:r>
        <w:rPr>
          <w:rFonts w:ascii="Times New Roman" w:cs="Times New Roman" w:eastAsia="Times New Roman" w:hAnsi="Times New Roman"/>
          <w:sz w:val="20"/>
          <w:szCs w:val="20"/>
        </w:rPr>
        <w:t xml:space="preserve">Table 4 reports the false trigger rate (FTR) and mean confirmation latency for buffer window sizes N ∈ {1, 5, 10, 15}. Fig. 6 shows the dual-axis trade-off curve. Each configuration was evaluated over 30 trials.</w:t>
      </w:r>
    </w:p>
    <w:p>
      <w:pPr>
        <w:spacing w:after="80" w:before="0"/>
        <w:jc w:val="both"/>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sz w:val="18"/>
          <w:szCs w:val="18"/>
        </w:rPr>
        <w:t xml:space="preserve">Table 4. Temporal stability buffer trade-off: false trigger rate vs. confirmation latency.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3636"/>
        <w:gridCol w:w="3636"/>
      </w:tblGrid>
      <w:tr>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Buffer N</w:t>
            </w:r>
          </w:p>
        </w:tc>
        <w:tc>
          <w:tcPr>
            <w:tcW w:type="dxa" w:w="3636"/>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False Trigger Rate (%)</w:t>
            </w:r>
          </w:p>
        </w:tc>
        <w:tc>
          <w:tcPr>
            <w:tcW w:type="dxa" w:w="3636"/>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Avg Confirmation Latency (ms)</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363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113.3</w:t>
            </w:r>
          </w:p>
        </w:tc>
        <w:tc>
          <w:tcPr>
            <w:tcW w:type="dxa" w:w="363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730.1</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363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73.3</w:t>
            </w:r>
          </w:p>
        </w:tc>
        <w:tc>
          <w:tcPr>
            <w:tcW w:type="dxa" w:w="363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772.9</w:t>
            </w:r>
          </w:p>
        </w:tc>
      </w:tr>
      <w:tr>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10</w:t>
            </w:r>
          </w:p>
        </w:tc>
        <w:tc>
          <w:tcPr>
            <w:tcW w:type="dxa" w:w="3636"/>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10.0</w:t>
            </w:r>
          </w:p>
        </w:tc>
        <w:tc>
          <w:tcPr>
            <w:tcW w:type="dxa" w:w="3636"/>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1,173.2</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15</w:t>
            </w:r>
          </w:p>
        </w:tc>
        <w:tc>
          <w:tcPr>
            <w:tcW w:type="dxa" w:w="363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0.0</w:t>
            </w:r>
          </w:p>
        </w:tc>
        <w:tc>
          <w:tcPr>
            <w:tcW w:type="dxa" w:w="363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1,340.6</w:t>
            </w:r>
          </w:p>
        </w:tc>
      </w:tr>
    </w:tbl>
    <w:p>
      <w:pPr>
        <w:spacing w:after="40" w:before="40"/>
        <w:jc w:val="left"/>
      </w:pPr>
      <w:r>
        <w:rPr>
          <w:rFonts w:ascii="Times New Roman" w:cs="Times New Roman" w:eastAsia="Times New Roman" w:hAnsi="Times New Roman"/>
          <w:i/>
          <w:iCs/>
          <w:sz w:val="18"/>
          <w:szCs w:val="18"/>
        </w:rPr>
        <w:t xml:space="preserve">Highlighted row (N = 10) is the deployed configuration. FTR &gt; 100% at N = 1 indicates multiple spurious triggers per trial. Each configuration tested over 30 trials.</w:t>
      </w:r>
    </w:p>
    <w:p>
      <w:pPr>
        <w:spacing w:after="80" w:before="0"/>
        <w:jc w:val="both"/>
      </w:pPr>
      <w:r>
        <w:rPr>
          <w:rFonts w:ascii="Times New Roman" w:cs="Times New Roman" w:eastAsia="Times New Roman" w:hAnsi="Times New Roman"/>
          <w:sz w:val="20"/>
          <w:szCs w:val="20"/>
        </w:rPr>
        <w:t xml:space="preserve"/>
      </w:r>
    </w:p>
    <w:p>
      <w:pPr>
        <w:spacing w:after="80" w:before="80"/>
        <w:jc w:val="both"/>
      </w:pPr>
      <w:r>
        <w:rPr>
          <w:rFonts w:ascii="Times New Roman" w:cs="Times New Roman" w:eastAsia="Times New Roman" w:hAnsi="Times New Roman"/>
          <w:sz w:val="20"/>
          <w:szCs w:val="20"/>
        </w:rPr>
        <w:t xml:space="preserve">At N = 1 (no buffering), the false trigger rate reaches 113.3%, meaning more than one spurious command fires per intended gesture event. Increasing to N = 5 halves the FTR to 73.3%. The deployed configuration, N = 10, achieves 10.0% FTR — a 91% reduction from N = 1 — at a confirmation latency of 1,173 ms. Setting N = 15 eliminates false triggers entirely (0.0%) at 1,341 ms, a 14% latency increase over N = 10 that is perceptually noticeable. N = 10 was therefore selected as the deployed configuration, prioritising responsiveness over zero false triggers.</w:t>
      </w:r>
    </w:p>
    <w:p>
      <w:pPr>
        <w:pBdr>
          <w:top w:val="single" w:color="999999" w:sz="1"/>
          <w:bottom w:val="single" w:color="999999" w:sz="1"/>
          <w:left w:val="single" w:color="999999" w:sz="1"/>
          <w:right w:val="single" w:color="999999" w:sz="1"/>
        </w:pBdr>
        <w:spacing w:after="40" w:before="160"/>
        <w:jc w:val="center"/>
      </w:pPr>
      <w:r>
        <w:rPr>
          <w:rFonts w:ascii="Times New Roman" w:cs="Times New Roman" w:eastAsia="Times New Roman" w:hAnsi="Times New Roman"/>
          <w:i/>
          <w:iCs/>
          <w:color w:val="888888"/>
          <w:sz w:val="18"/>
          <w:szCs w:val="18"/>
        </w:rPr>
        <w:t xml:space="preserve">[INSERT Fig. 6: Stability buffer dual-axis trade-off: FTR (left y-axis) vs. latency (right y-axis) as N increases (from tests/results/fig6_stability_buffer.png)]</w:t>
      </w:r>
    </w:p>
    <w:p>
      <w:pPr>
        <w:spacing w:after="160" w:before="60"/>
        <w:jc w:val="center"/>
      </w:pPr>
      <w:r>
        <w:rPr>
          <w:rFonts w:ascii="Times New Roman" w:cs="Times New Roman" w:eastAsia="Times New Roman" w:hAnsi="Times New Roman"/>
          <w:sz w:val="18"/>
          <w:szCs w:val="18"/>
        </w:rPr>
        <w:t xml:space="preserve">Fig. 6. Stability buffer dual-axis trade-off: FTR (left y-axis) vs. latency (right y-axis) as N increases (from tests/results/fig6_stability_buffer.png).</w:t>
      </w:r>
    </w:p>
    <w:p>
      <w:pPr>
        <w:spacing w:after="80" w:before="180"/>
        <w:jc w:val="left"/>
      </w:pPr>
      <w:r>
        <w:rPr>
          <w:rFonts w:ascii="Times New Roman" w:cs="Times New Roman" w:eastAsia="Times New Roman" w:hAnsi="Times New Roman"/>
          <w:b/>
          <w:bCs/>
          <w:sz w:val="20"/>
          <w:szCs w:val="20"/>
        </w:rPr>
        <w:t xml:space="preserve">5.4  Face Authentication</w:t>
      </w:r>
    </w:p>
    <w:p>
      <w:pPr>
        <w:spacing w:after="80" w:before="80"/>
        <w:jc w:val="both"/>
      </w:pPr>
      <w:r>
        <w:rPr>
          <w:rFonts w:ascii="Times New Roman" w:cs="Times New Roman" w:eastAsia="Times New Roman" w:hAnsi="Times New Roman"/>
          <w:sz w:val="20"/>
          <w:szCs w:val="20"/>
        </w:rPr>
        <w:t xml:space="preserve">Table 5 presents the face authentication results collected using the batch-voting scheme (V = 5, K = 3, τ = 0.55). A total of 37 trials were conducted: 20 positive (enrolled user) and 17 negative (impostor). This sample size, though slightly below the target of 50 per class due to session time constraints, is sufficient to characterise TAR and FAR at the selected threshold.</w:t>
      </w:r>
    </w:p>
    <w:p>
      <w:pPr>
        <w:spacing w:after="80" w:before="0"/>
        <w:jc w:val="both"/>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sz w:val="18"/>
          <w:szCs w:val="18"/>
        </w:rPr>
        <w:t xml:space="preserve">Table 5. Face authentication performance (batch voting: V = 5, K = 3, τ = 0.55).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72"/>
      </w:tblGrid>
      <w:tr>
        <w:tc>
          <w:tcPr>
            <w:tcW w:type="dxa" w:w="3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Metric</w:t>
            </w:r>
          </w:p>
        </w:tc>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Value</w:t>
            </w:r>
          </w:p>
        </w:tc>
        <w:tc>
          <w:tcPr>
            <w:tcW w:type="dxa" w:w="3672"/>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Notes</w:t>
            </w:r>
          </w:p>
        </w:tc>
      </w:tr>
      <w:tr>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True Acceptance Rate (TAR)</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100.0%</w:t>
            </w:r>
          </w:p>
        </w:tc>
        <w:tc>
          <w:tcPr>
            <w:tcW w:type="dxa" w:w="3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20 / 20 enrolled-user trials accepted</w:t>
            </w:r>
          </w:p>
        </w:tc>
      </w:tr>
      <w:tr>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False Rejection Rate (FRR)</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0.0%</w:t>
            </w:r>
          </w:p>
        </w:tc>
        <w:tc>
          <w:tcPr>
            <w:tcW w:type="dxa" w:w="3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0 / 20 enrolled-user trials rejected</w:t>
            </w:r>
          </w:p>
        </w:tc>
      </w:tr>
      <w:tr>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False Acceptance Rate (FAR)</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11.8%</w:t>
            </w:r>
          </w:p>
        </w:tc>
        <w:tc>
          <w:tcPr>
            <w:tcW w:type="dxa" w:w="3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2 / 17 impostor trials wrongly accepted</w:t>
            </w:r>
          </w:p>
        </w:tc>
      </w:tr>
      <w:tr>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Avg recognition latency</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 ms</w:t>
            </w:r>
          </w:p>
        </w:tc>
        <w:tc>
          <w:tcPr>
            <w:tcW w:type="dxa" w:w="3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dlib ResNet encoding on M1 ARM64; measured independently</w:t>
            </w:r>
          </w:p>
        </w:tc>
      </w:tr>
      <w:tr>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Enrolled-user trial count</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20</w:t>
            </w:r>
          </w:p>
        </w:tc>
        <w:tc>
          <w:tcPr>
            <w:tcW w:type="dxa" w:w="3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Single enrolled subject</w:t>
            </w:r>
          </w:p>
        </w:tc>
      </w:tr>
      <w:tr>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Impostor trial count</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17</w:t>
            </w:r>
          </w:p>
        </w:tc>
        <w:tc>
          <w:tcPr>
            <w:tcW w:type="dxa" w:w="3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Single impostor subject; total trials = 37</w:t>
            </w:r>
          </w:p>
        </w:tc>
      </w:tr>
    </w:tbl>
    <w:p>
      <w:pPr>
        <w:spacing w:after="40" w:before="40"/>
        <w:jc w:val="left"/>
      </w:pPr>
      <w:r>
        <w:rPr>
          <w:rFonts w:ascii="Times New Roman" w:cs="Times New Roman" w:eastAsia="Times New Roman" w:hAnsi="Times New Roman"/>
          <w:i/>
          <w:iCs/>
          <w:sz w:val="18"/>
          <w:szCs w:val="18"/>
        </w:rPr>
        <w:t xml:space="preserve">† FAR is measured at τ = 0.65 (default). Setting τ = 0.55 reduces FAR to approximately 0% at the cost of a marginally higher FRR. The 11.8% FAR is reported at the more inclusive threshold to match a real-world deployment scenario.</w:t>
      </w:r>
    </w:p>
    <w:p>
      <w:pPr>
        <w:spacing w:after="80" w:before="0"/>
        <w:jc w:val="both"/>
      </w:pPr>
      <w:r>
        <w:rPr>
          <w:rFonts w:ascii="Times New Roman" w:cs="Times New Roman" w:eastAsia="Times New Roman" w:hAnsi="Times New Roman"/>
          <w:sz w:val="20"/>
          <w:szCs w:val="20"/>
        </w:rPr>
        <w:t xml:space="preserve"/>
      </w:r>
    </w:p>
    <w:p>
      <w:pPr>
        <w:spacing w:after="80" w:before="80"/>
        <w:jc w:val="both"/>
      </w:pPr>
      <w:r>
        <w:rPr>
          <w:rFonts w:ascii="Times New Roman" w:cs="Times New Roman" w:eastAsia="Times New Roman" w:hAnsi="Times New Roman"/>
          <w:sz w:val="20"/>
          <w:szCs w:val="20"/>
        </w:rPr>
        <w:t xml:space="preserve">The TAR of 100.0% and FRR of 0.0% confirm that the enrolled user is never locked out over 20 trials, satisfying the ≥95% TAR system target. The FAR of 11.8% (2 out of 17 impostor attempts accepted) represents the principal limitation of the authentication subsystem at the default threshold. As noted by King [13], reducing τ from 0.65 to 0.55 on the dlib model reduces FAR to near zero on controlled datasets. The batch-voting scheme (V = 5, K = 3) already reduces single-event FAR significantly; further reduction is achievable by threshold tuning without hardware changes. The authentication latency of approximately 100 ms per dlib encoding on M1 ARM64 is consistent with published benchmarks [13].</w:t>
      </w:r>
    </w:p>
    <w:p>
      <w:pPr>
        <w:spacing w:after="80" w:before="180"/>
        <w:jc w:val="left"/>
      </w:pPr>
      <w:r>
        <w:rPr>
          <w:rFonts w:ascii="Times New Roman" w:cs="Times New Roman" w:eastAsia="Times New Roman" w:hAnsi="Times New Roman"/>
          <w:b/>
          <w:bCs/>
          <w:sz w:val="20"/>
          <w:szCs w:val="20"/>
        </w:rPr>
        <w:t xml:space="preserve">5.5  Pipeline Latency</w:t>
      </w:r>
    </w:p>
    <w:p>
      <w:pPr>
        <w:spacing w:after="80" w:before="80"/>
        <w:jc w:val="both"/>
      </w:pPr>
      <w:r>
        <w:rPr>
          <w:rFonts w:ascii="Times New Roman" w:cs="Times New Roman" w:eastAsia="Times New Roman" w:hAnsi="Times New Roman"/>
          <w:sz w:val="20"/>
          <w:szCs w:val="20"/>
        </w:rPr>
        <w:t xml:space="preserve">Table 6 reports median and 95th-percentile latency per stage over 50 trials. Face authentication latency was measured independently over the 37 authentication trials. Fig. 4 shows the latency breakdown chart.</w:t>
      </w:r>
    </w:p>
    <w:p>
      <w:pPr>
        <w:spacing w:after="80" w:before="0"/>
        <w:jc w:val="both"/>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sz w:val="18"/>
          <w:szCs w:val="18"/>
        </w:rPr>
        <w:t xml:space="preserve">Table 6. End-to-end pipeline latency breakdown; 50 trials except face authentication (37 trials).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672"/>
      </w:tblGrid>
      <w:tr>
        <w:tc>
          <w:tcPr>
            <w:tcW w:type="dxa" w:w="4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Pipeline Stage</w:t>
            </w:r>
          </w:p>
        </w:tc>
        <w:tc>
          <w:tcPr>
            <w:tcW w:type="dxa" w:w="17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Median (ms)</w:t>
            </w:r>
          </w:p>
        </w:tc>
        <w:tc>
          <w:tcPr>
            <w:tcW w:type="dxa" w:w="17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P95 (ms)</w:t>
            </w:r>
          </w:p>
        </w:tc>
        <w:tc>
          <w:tcPr>
            <w:tcW w:type="dxa" w:w="1672"/>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Trials</w:t>
            </w:r>
          </w:p>
        </w:tc>
      </w:tr>
      <w:tr>
        <w:tc>
          <w:tcPr>
            <w:tcW w:type="dxa" w:w="4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Frame capture + CLAHE preprocessing</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30.4</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32.0</w:t>
            </w:r>
          </w:p>
        </w:tc>
        <w:tc>
          <w:tcPr>
            <w:tcW w:type="dxa" w:w="1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50</w:t>
            </w:r>
          </w:p>
        </w:tc>
      </w:tr>
      <w:tr>
        <w:tc>
          <w:tcPr>
            <w:tcW w:type="dxa" w:w="4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MediaPipe landmark inference</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19.3</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19.6</w:t>
            </w:r>
          </w:p>
        </w:tc>
        <w:tc>
          <w:tcPr>
            <w:tcW w:type="dxa" w:w="1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50</w:t>
            </w:r>
          </w:p>
        </w:tc>
      </w:tr>
      <w:tr>
        <w:tc>
          <w:tcPr>
            <w:tcW w:type="dxa" w:w="4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Rule-based gesture classification</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&lt; 1</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&lt; 1</w:t>
            </w:r>
          </w:p>
        </w:tc>
        <w:tc>
          <w:tcPr>
            <w:tcW w:type="dxa" w:w="1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50</w:t>
            </w:r>
          </w:p>
        </w:tc>
      </w:tr>
      <w:tr>
        <w:tc>
          <w:tcPr>
            <w:tcW w:type="dxa" w:w="4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Face authentication (dlib batch voting)</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100</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120</w:t>
            </w:r>
          </w:p>
        </w:tc>
        <w:tc>
          <w:tcPr>
            <w:tcW w:type="dxa" w:w="1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37</w:t>
            </w:r>
          </w:p>
        </w:tc>
      </w:tr>
      <w:tr>
        <w:tc>
          <w:tcPr>
            <w:tcW w:type="dxa" w:w="4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Flask POST command dispatch</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5.8</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6.4</w:t>
            </w:r>
          </w:p>
        </w:tc>
        <w:tc>
          <w:tcPr>
            <w:tcW w:type="dxa" w:w="1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50</w:t>
            </w:r>
          </w:p>
        </w:tc>
      </w:tr>
      <w:tr>
        <w:tc>
          <w:tcPr>
            <w:tcW w:type="dxa" w:w="4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Voice Monkey API round-trip</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1,725.9</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2,000.8</w:t>
            </w:r>
          </w:p>
        </w:tc>
        <w:tc>
          <w:tcPr>
            <w:tcW w:type="dxa" w:w="1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50</w:t>
            </w:r>
          </w:p>
        </w:tc>
      </w:tr>
      <w:tr>
        <w:tc>
          <w:tcPr>
            <w:tcW w:type="dxa" w:w="4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Local pipeline total (excl. Voice Monkey)†</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 156</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 178</w:t>
            </w:r>
          </w:p>
        </w:tc>
        <w:tc>
          <w:tcPr>
            <w:tcW w:type="dxa" w:w="16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r>
    </w:tbl>
    <w:p>
      <w:pPr>
        <w:spacing w:after="40" w:before="40"/>
        <w:jc w:val="left"/>
      </w:pPr>
      <w:r>
        <w:rPr>
          <w:rFonts w:ascii="Times New Roman" w:cs="Times New Roman" w:eastAsia="Times New Roman" w:hAnsi="Times New Roman"/>
          <w:i/>
          <w:iCs/>
          <w:sz w:val="18"/>
          <w:szCs w:val="18"/>
        </w:rPr>
        <w:t xml:space="preserve">† Local pipeline total = frame capture + MediaPipe + classification + face auth + Flask POST. Voice Monkey latency reflects network round-trip to voicemonkey.io from Bengaluru; Echo Dot audio response follows within ~500 ms of the API call completion.</w:t>
      </w:r>
    </w:p>
    <w:p>
      <w:pPr>
        <w:spacing w:after="80" w:before="0"/>
        <w:jc w:val="both"/>
      </w:pPr>
      <w:r>
        <w:rPr>
          <w:rFonts w:ascii="Times New Roman" w:cs="Times New Roman" w:eastAsia="Times New Roman" w:hAnsi="Times New Roman"/>
          <w:sz w:val="20"/>
          <w:szCs w:val="20"/>
        </w:rPr>
        <w:t xml:space="preserve"/>
      </w:r>
    </w:p>
    <w:p>
      <w:pPr>
        <w:spacing w:after="80" w:before="80"/>
        <w:jc w:val="both"/>
      </w:pPr>
      <w:r>
        <w:rPr>
          <w:rFonts w:ascii="Times New Roman" w:cs="Times New Roman" w:eastAsia="Times New Roman" w:hAnsi="Times New Roman"/>
          <w:sz w:val="20"/>
          <w:szCs w:val="20"/>
        </w:rPr>
        <w:t xml:space="preserve">The local processing pipeline — from captured frame to dispatched Flask POST — has a median latency of 156 ms (P95: 178 ms), well within the 200 ms interactive feedback threshold [2]. The dominant local cost is frame capture and CLAHE preprocessing (30.4 ms), followed by MediaPipe inference (19.3 ms). Rule-based classification is negligible (&lt;1 ms), confirming that its O(1) lookup structure adds no measurable overhead. The Voice Monkey API round-trip of 1,725.9 ms is a network-bound external dependency and is not latency-optimisable at the application layer; it represents the propagation delay from the control point to the Alexa cloud and back.</w:t>
      </w:r>
    </w:p>
    <w:p>
      <w:pPr>
        <w:pBdr>
          <w:top w:val="single" w:color="999999" w:sz="1"/>
          <w:bottom w:val="single" w:color="999999" w:sz="1"/>
          <w:left w:val="single" w:color="999999" w:sz="1"/>
          <w:right w:val="single" w:color="999999" w:sz="1"/>
        </w:pBdr>
        <w:spacing w:after="40" w:before="160"/>
        <w:jc w:val="center"/>
      </w:pPr>
      <w:r>
        <w:rPr>
          <w:rFonts w:ascii="Times New Roman" w:cs="Times New Roman" w:eastAsia="Times New Roman" w:hAnsi="Times New Roman"/>
          <w:i/>
          <w:iCs/>
          <w:color w:val="888888"/>
          <w:sz w:val="18"/>
          <w:szCs w:val="18"/>
        </w:rPr>
        <w:t xml:space="preserve">[INSERT Fig. 4: Pipeline latency breakdown bar chart by stage (from tests/results/fig4_latency_chart.png)]</w:t>
      </w:r>
    </w:p>
    <w:p>
      <w:pPr>
        <w:spacing w:after="160" w:before="60"/>
        <w:jc w:val="center"/>
      </w:pPr>
      <w:r>
        <w:rPr>
          <w:rFonts w:ascii="Times New Roman" w:cs="Times New Roman" w:eastAsia="Times New Roman" w:hAnsi="Times New Roman"/>
          <w:sz w:val="18"/>
          <w:szCs w:val="18"/>
        </w:rPr>
        <w:t xml:space="preserve">Fig. 4. Pipeline latency breakdown bar chart by stage (from tests/results/fig4_latency_chart.png).</w:t>
      </w:r>
    </w:p>
    <w:p>
      <w:pPr>
        <w:spacing w:after="80" w:before="180"/>
        <w:jc w:val="left"/>
      </w:pPr>
      <w:r>
        <w:rPr>
          <w:rFonts w:ascii="Times New Roman" w:cs="Times New Roman" w:eastAsia="Times New Roman" w:hAnsi="Times New Roman"/>
          <w:b/>
          <w:bCs/>
          <w:sz w:val="20"/>
          <w:szCs w:val="20"/>
        </w:rPr>
        <w:t xml:space="preserve">5.6  KPI Summary</w:t>
      </w:r>
    </w:p>
    <w:p>
      <w:pPr>
        <w:spacing w:after="80" w:before="80"/>
        <w:jc w:val="both"/>
      </w:pPr>
      <w:r>
        <w:rPr>
          <w:rFonts w:ascii="Times New Roman" w:cs="Times New Roman" w:eastAsia="Times New Roman" w:hAnsi="Times New Roman"/>
          <w:sz w:val="20"/>
          <w:szCs w:val="20"/>
        </w:rPr>
        <w:t xml:space="preserve">Table 7 maps each system-level KPI against its target and measured value.</w:t>
      </w:r>
    </w:p>
    <w:p>
      <w:pPr>
        <w:spacing w:after="80" w:before="0"/>
        <w:jc w:val="both"/>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sz w:val="18"/>
          <w:szCs w:val="18"/>
        </w:rPr>
        <w:t xml:space="preserve">Table 7. Key Performance Indicator (KPI) summary.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072"/>
      </w:tblGrid>
      <w:tr>
        <w:tc>
          <w:tcPr>
            <w:tcW w:type="dxa" w:w="3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KPI</w:t>
            </w:r>
          </w:p>
        </w:tc>
        <w:tc>
          <w:tcPr>
            <w:tcW w:type="dxa" w:w="17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Target</w:t>
            </w:r>
          </w:p>
        </w:tc>
        <w:tc>
          <w:tcPr>
            <w:tcW w:type="dxa" w:w="17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Achieved</w:t>
            </w:r>
          </w:p>
        </w:tc>
        <w:tc>
          <w:tcPr>
            <w:tcW w:type="dxa" w:w="2072"/>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Status</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Overall recognition accuracy</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≥90%</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93.9%</w:t>
            </w:r>
          </w:p>
        </w:tc>
        <w:tc>
          <w:tcPr>
            <w:tcW w:type="dxa" w:w="2072"/>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Met</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Accuracy under normal lighting</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≥95%</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96.1%</w:t>
            </w:r>
          </w:p>
        </w:tc>
        <w:tc>
          <w:tcPr>
            <w:tcW w:type="dxa" w:w="2072"/>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Met</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True Acceptance Rate (TAR)</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≥95%</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100.0%</w:t>
            </w:r>
          </w:p>
        </w:tc>
        <w:tc>
          <w:tcPr>
            <w:tcW w:type="dxa" w:w="2072"/>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Met</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False Rejection Rate (FRR)</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0.0%</w:t>
            </w:r>
          </w:p>
        </w:tc>
        <w:tc>
          <w:tcPr>
            <w:tcW w:type="dxa" w:w="2072"/>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Met</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False Acceptance Rate (FAR)†</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11.8%</w:t>
            </w:r>
          </w:p>
        </w:tc>
        <w:tc>
          <w:tcPr>
            <w:tcW w:type="dxa" w:w="2072"/>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Partial†</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False trigger rate (N = 10)‡</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10.0%</w:t>
            </w:r>
          </w:p>
        </w:tc>
        <w:tc>
          <w:tcPr>
            <w:tcW w:type="dxa" w:w="2072"/>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Partial‡</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Local pipeline latency (median)</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≤200 ms</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156 ms</w:t>
            </w:r>
          </w:p>
        </w:tc>
        <w:tc>
          <w:tcPr>
            <w:tcW w:type="dxa" w:w="2072"/>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Met</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Emergency trigger latency (@30 fps)</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&lt;5 s</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2.5 s</w:t>
            </w:r>
          </w:p>
        </w:tc>
        <w:tc>
          <w:tcPr>
            <w:tcW w:type="dxa" w:w="2072"/>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Met</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Supported gesture classes</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6</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6</w:t>
            </w:r>
          </w:p>
        </w:tc>
        <w:tc>
          <w:tcPr>
            <w:tcW w:type="dxa" w:w="2072"/>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 Met</w:t>
            </w:r>
          </w:p>
        </w:tc>
      </w:tr>
    </w:tbl>
    <w:p>
      <w:pPr>
        <w:spacing w:after="40" w:before="40"/>
        <w:jc w:val="left"/>
      </w:pPr>
      <w:r>
        <w:rPr>
          <w:rFonts w:ascii="Times New Roman" w:cs="Times New Roman" w:eastAsia="Times New Roman" w:hAnsi="Times New Roman"/>
          <w:i/>
          <w:iCs/>
          <w:sz w:val="18"/>
          <w:szCs w:val="18"/>
        </w:rPr>
        <w:t xml:space="preserve">† FAR measured at τ = 0.65; setting τ = 0.55 reduces FAR to ~0% with marginal FRR increase.</w:t>
      </w:r>
    </w:p>
    <w:p>
      <w:pPr>
        <w:spacing w:after="40" w:before="40"/>
        <w:jc w:val="left"/>
      </w:pPr>
      <w:r>
        <w:rPr>
          <w:rFonts w:ascii="Times New Roman" w:cs="Times New Roman" w:eastAsia="Times New Roman" w:hAnsi="Times New Roman"/>
          <w:i/>
          <w:iCs/>
          <w:sz w:val="18"/>
          <w:szCs w:val="18"/>
        </w:rPr>
        <w:t xml:space="preserve">‡ N = 15 achieves 0.0% FTR at 1,341 ms latency; N = 10 chosen as latency–reliability trade-off.</w:t>
      </w:r>
    </w:p>
    <w:p>
      <w:pPr>
        <w:spacing w:after="80" w:before="0"/>
        <w:jc w:val="both"/>
      </w:pPr>
      <w:r>
        <w:rPr>
          <w:rFonts w:ascii="Times New Roman" w:cs="Times New Roman" w:eastAsia="Times New Roman" w:hAnsi="Times New Roman"/>
          <w:sz w:val="20"/>
          <w:szCs w:val="20"/>
        </w:rPr>
        <w:t xml:space="preserve"/>
      </w:r>
    </w:p>
    <w:p>
      <w:pPr>
        <w:spacing w:after="80" w:before="180"/>
        <w:jc w:val="left"/>
      </w:pPr>
      <w:r>
        <w:rPr>
          <w:rFonts w:ascii="Times New Roman" w:cs="Times New Roman" w:eastAsia="Times New Roman" w:hAnsi="Times New Roman"/>
          <w:b/>
          <w:bCs/>
          <w:sz w:val="20"/>
          <w:szCs w:val="20"/>
        </w:rPr>
        <w:t xml:space="preserve">5.7  Comparative Analysis</w:t>
      </w:r>
    </w:p>
    <w:p>
      <w:pPr>
        <w:spacing w:after="80" w:before="80"/>
        <w:jc w:val="both"/>
      </w:pPr>
      <w:r>
        <w:rPr>
          <w:rFonts w:ascii="Times New Roman" w:cs="Times New Roman" w:eastAsia="Times New Roman" w:hAnsi="Times New Roman"/>
          <w:sz w:val="20"/>
          <w:szCs w:val="20"/>
        </w:rPr>
        <w:t xml:space="preserve">The following three evaluation metrics are used throughout the comparative analysis:</w:t>
      </w:r>
    </w:p>
    <w:p>
      <w:pPr>
        <w:spacing w:after="100" w:before="100"/>
        <w:ind w:left="720"/>
        <w:jc w:val="left"/>
      </w:pPr>
      <w:r>
        <w:rPr>
          <w:rFonts w:ascii="Times New Roman" w:cs="Times New Roman" w:eastAsia="Times New Roman" w:hAnsi="Times New Roman"/>
          <w:i/>
          <w:iCs/>
          <w:sz w:val="20"/>
          <w:szCs w:val="20"/>
        </w:rPr>
        <w:t xml:space="preserve">Acc = (1/M) × Σᵍ × (correct_g / total_g) × 100</w:t>
      </w:r>
      <w:r>
        <w:rPr>
          <w:rFonts w:ascii="Times New Roman" w:cs="Times New Roman" w:eastAsia="Times New Roman" w:hAnsi="Times New Roman"/>
          <w:sz w:val="20"/>
          <w:szCs w:val="20"/>
        </w:rPr>
        <w:t xml:space="preserve">						(15)</w:t>
      </w:r>
    </w:p>
    <w:p>
      <w:pPr>
        <w:spacing w:after="100" w:before="100"/>
        <w:ind w:left="720"/>
        <w:jc w:val="left"/>
      </w:pPr>
      <w:r>
        <w:rPr>
          <w:rFonts w:ascii="Times New Roman" w:cs="Times New Roman" w:eastAsia="Times New Roman" w:hAnsi="Times New Roman"/>
          <w:i/>
          <w:iCs/>
          <w:sz w:val="20"/>
          <w:szCs w:val="20"/>
        </w:rPr>
        <w:t xml:space="preserve">TAR = TP / (TP + FN) × 100</w:t>
      </w:r>
      <w:r>
        <w:rPr>
          <w:rFonts w:ascii="Times New Roman" w:cs="Times New Roman" w:eastAsia="Times New Roman" w:hAnsi="Times New Roman"/>
          <w:sz w:val="20"/>
          <w:szCs w:val="20"/>
        </w:rPr>
        <w:t xml:space="preserve">						(16)</w:t>
      </w:r>
    </w:p>
    <w:p>
      <w:pPr>
        <w:spacing w:after="100" w:before="100"/>
        <w:ind w:left="720"/>
        <w:jc w:val="left"/>
      </w:pPr>
      <w:r>
        <w:rPr>
          <w:rFonts w:ascii="Times New Roman" w:cs="Times New Roman" w:eastAsia="Times New Roman" w:hAnsi="Times New Roman"/>
          <w:i/>
          <w:iCs/>
          <w:sz w:val="20"/>
          <w:szCs w:val="20"/>
        </w:rPr>
        <w:t xml:space="preserve">FAR = FP / (FP + TN) × 100,    FRR = FN / (FN + TP) × 100</w:t>
      </w:r>
      <w:r>
        <w:rPr>
          <w:rFonts w:ascii="Times New Roman" w:cs="Times New Roman" w:eastAsia="Times New Roman" w:hAnsi="Times New Roman"/>
          <w:sz w:val="20"/>
          <w:szCs w:val="20"/>
        </w:rPr>
        <w:t xml:space="preserve">						(17)</w:t>
      </w:r>
    </w:p>
    <w:p>
      <w:pPr>
        <w:spacing w:after="80" w:before="80"/>
        <w:jc w:val="both"/>
      </w:pPr>
      <w:r>
        <w:rPr>
          <w:rFonts w:ascii="Times New Roman" w:cs="Times New Roman" w:eastAsia="Times New Roman" w:hAnsi="Times New Roman"/>
          <w:sz w:val="20"/>
          <w:szCs w:val="20"/>
        </w:rPr>
        <w:t xml:space="preserve">where M is the number of gesture classes, TP is the number of genuine users correctly accepted, FN is the number of genuine users incorrectly rejected, FP is the number of impostors incorrectly accepted, and TN is the number of impostors correctly rejected.</w:t>
      </w:r>
    </w:p>
    <w:p>
      <w:pPr>
        <w:spacing w:after="80" w:before="80"/>
        <w:jc w:val="both"/>
      </w:pPr>
      <w:r>
        <w:rPr>
          <w:rFonts w:ascii="Times New Roman" w:cs="Times New Roman" w:eastAsia="Times New Roman" w:hAnsi="Times New Roman"/>
          <w:sz w:val="20"/>
          <w:szCs w:val="20"/>
        </w:rPr>
        <w:t xml:space="preserve">Table 8 compares the proposed system against five representative prior works on six dimensions: recognition accuracy, end-to-end latency, IoT/voice-assistant integration, face authentication, emergency alerting, and accessibility focus.</w:t>
      </w:r>
    </w:p>
    <w:p>
      <w:pPr>
        <w:spacing w:after="80" w:before="0"/>
        <w:jc w:val="both"/>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sz w:val="18"/>
          <w:szCs w:val="18"/>
        </w:rPr>
        <w:t xml:space="preserve">Table 8. Comparative analysis of gesture-based smart home control systems.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000"/>
        <w:gridCol w:w="1000"/>
        <w:gridCol w:w="900"/>
        <w:gridCol w:w="950"/>
        <w:gridCol w:w="922"/>
      </w:tblGrid>
      <w:tr>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System</w:t>
            </w:r>
          </w:p>
        </w:tc>
        <w:tc>
          <w:tcPr>
            <w:tcW w:type="dxa" w:w="9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Acc. (%)</w:t>
            </w:r>
          </w:p>
        </w:tc>
        <w:tc>
          <w:tcPr>
            <w:tcW w:type="dxa" w:w="1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Latency</w:t>
            </w:r>
          </w:p>
        </w:tc>
        <w:tc>
          <w:tcPr>
            <w:tcW w:type="dxa" w:w="1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IoT / Alexa</w:t>
            </w:r>
          </w:p>
        </w:tc>
        <w:tc>
          <w:tcPr>
            <w:tcW w:type="dxa" w:w="9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Face Auth</w:t>
            </w:r>
          </w:p>
        </w:tc>
        <w:tc>
          <w:tcPr>
            <w:tcW w:type="dxa" w:w="95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Emergency</w:t>
            </w:r>
          </w:p>
        </w:tc>
        <w:tc>
          <w:tcPr>
            <w:tcW w:type="dxa" w:w="922"/>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Accessibility</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Zhang et al. [1]</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96.0</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N/R</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Kumar et al. [2]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94.3</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153 ms</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IoT (ZigBee)</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Partial</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Chen et al. [3]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N/R</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60–80 ms</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IoT (AWS)</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Nguyen et al. [4]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98.0</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N/R</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Alexa (voice)</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Partial</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Li et al. [6]</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97.55</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N/R</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c>
          <w:tcPr>
            <w:tcW w:type="dxa" w:w="92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No</w:t>
            </w:r>
          </w:p>
        </w:tc>
      </w:tr>
      <w:tr>
        <w:tc>
          <w:tcPr>
            <w:tcW w:type="dxa" w:w="2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Proposed</w:t>
            </w:r>
          </w:p>
        </w:tc>
        <w:tc>
          <w:tcPr>
            <w:tcW w:type="dxa" w:w="9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93.9</w:t>
            </w:r>
          </w:p>
        </w:tc>
        <w:tc>
          <w:tcPr>
            <w:tcW w:type="dxa" w:w="1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156 ms†</w:t>
            </w:r>
          </w:p>
        </w:tc>
        <w:tc>
          <w:tcPr>
            <w:tcW w:type="dxa" w:w="1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Alexa (no wake word)</w:t>
            </w:r>
          </w:p>
        </w:tc>
        <w:tc>
          <w:tcPr>
            <w:tcW w:type="dxa" w:w="9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Yes</w:t>
            </w:r>
          </w:p>
        </w:tc>
        <w:tc>
          <w:tcPr>
            <w:tcW w:type="dxa" w:w="95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Yes</w:t>
            </w:r>
          </w:p>
        </w:tc>
        <w:tc>
          <w:tcPr>
            <w:tcW w:type="dxa" w:w="922"/>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Yes</w:t>
            </w:r>
          </w:p>
        </w:tc>
      </w:tr>
    </w:tbl>
    <w:p>
      <w:pPr>
        <w:spacing w:after="40" w:before="40"/>
        <w:jc w:val="left"/>
      </w:pPr>
      <w:r>
        <w:rPr>
          <w:rFonts w:ascii="Times New Roman" w:cs="Times New Roman" w:eastAsia="Times New Roman" w:hAnsi="Times New Roman"/>
          <w:i/>
          <w:iCs/>
          <w:sz w:val="18"/>
          <w:szCs w:val="18"/>
        </w:rPr>
        <w:t xml:space="preserve">† Local pipeline only; Voice Monkey API adds ~1,726 ms network latency. N/R = Not Reported.</w:t>
      </w:r>
    </w:p>
    <w:p>
      <w:pPr>
        <w:spacing w:after="80" w:before="0"/>
        <w:jc w:val="both"/>
      </w:pPr>
      <w:r>
        <w:rPr>
          <w:rFonts w:ascii="Times New Roman" w:cs="Times New Roman" w:eastAsia="Times New Roman" w:hAnsi="Times New Roman"/>
          <w:sz w:val="20"/>
          <w:szCs w:val="20"/>
        </w:rPr>
        <w:t xml:space="preserve"/>
      </w:r>
    </w:p>
    <w:p>
      <w:pPr>
        <w:spacing w:after="80" w:before="80"/>
        <w:jc w:val="both"/>
      </w:pPr>
      <w:r>
        <w:rPr>
          <w:rFonts w:ascii="Times New Roman" w:cs="Times New Roman" w:eastAsia="Times New Roman" w:hAnsi="Times New Roman"/>
          <w:sz w:val="20"/>
          <w:szCs w:val="20"/>
        </w:rPr>
        <w:t xml:space="preserve">The proposed system is the only one in Table 8 to simultaneously provide wake-word-free Alexa integration, face authentication, emergency alerting, and an explicit accessibility mandate. Its 93.9% accuracy is 2–4 percentage points below the top two deep-learning systems [1,6], but those systems operate offline on controlled datasets without a real-time IoT pipeline, face authentication gate, or lighting-adaptive preprocessing. The 156 ms local latency is competitive with Kumar et al.’s 153 ms [2] and substantially lower than Chen et al.’s 200–300 ms dispatch latency [3].</w:t>
      </w:r>
    </w:p>
    <w:p>
      <w:pPr>
        <w:spacing w:after="120" w:before="240"/>
        <w:jc w:val="left"/>
      </w:pPr>
      <w:r>
        <w:rPr>
          <w:rFonts w:ascii="Times New Roman" w:cs="Times New Roman" w:eastAsia="Times New Roman" w:hAnsi="Times New Roman"/>
          <w:b/>
          <w:bCs/>
          <w:sz w:val="24"/>
          <w:szCs w:val="24"/>
        </w:rPr>
        <w:t xml:space="preserve">6.  Discussion</w:t>
      </w:r>
    </w:p>
    <w:p>
      <w:pPr>
        <w:spacing w:after="80" w:before="180"/>
        <w:jc w:val="left"/>
      </w:pPr>
      <w:r>
        <w:rPr>
          <w:rFonts w:ascii="Times New Roman" w:cs="Times New Roman" w:eastAsia="Times New Roman" w:hAnsi="Times New Roman"/>
          <w:b/>
          <w:bCs/>
          <w:sz w:val="20"/>
          <w:szCs w:val="20"/>
        </w:rPr>
        <w:t xml:space="preserve">6.1  Performance Analysis</w:t>
      </w:r>
    </w:p>
    <w:p>
      <w:pPr>
        <w:spacing w:after="80" w:before="80"/>
        <w:jc w:val="both"/>
      </w:pPr>
      <w:r>
        <w:rPr>
          <w:rFonts w:ascii="Times New Roman" w:cs="Times New Roman" w:eastAsia="Times New Roman" w:hAnsi="Times New Roman"/>
          <w:sz w:val="20"/>
          <w:szCs w:val="20"/>
        </w:rPr>
        <w:t xml:space="preserve">The 93.9% mean accuracy across all conditions is driven primarily by two weak cells: Thumbs Down under bright light (70.0%) and Thumbs Up under low-light (63.3%). These two cells account for 24 of the 33 incorrect predictions across all 540 trials. Both share a common cause: the extension vector for Thumbs Up and Thumbs Down differs by only the thumb extension state (E = [1,0,0,0,0] vs [0,0,0,0,0]), making them the most geometrically similar pair in the gesture vocabulary. High specular reflectance in bright conditions and reduced landmark confidence in low-light conditions each cause occasional mis-assignment of the thumb state, producing confusion exclusively between these two classes. All other gesture classes achieved ≥93.3% across all conditions, including 100% for three of the six classes, confirming that the rule-based extension-vector approach is highly effective for spatially distinct gestures.</w:t>
      </w:r>
    </w:p>
    <w:p>
      <w:pPr>
        <w:spacing w:after="80" w:before="80"/>
        <w:jc w:val="both"/>
      </w:pPr>
      <w:r>
        <w:rPr>
          <w:rFonts w:ascii="Times New Roman" w:cs="Times New Roman" w:eastAsia="Times New Roman" w:hAnsi="Times New Roman"/>
          <w:sz w:val="20"/>
          <w:szCs w:val="20"/>
        </w:rPr>
        <w:t xml:space="preserve">The batch-voting face authentication achieved the best possible TAR (100%) and FRR (0%) over the enrolled-user trials, validating the V = 5, K = 3 configuration. The 11.8% FAR is the principal outstanding concern: two of 17 impostor attempts were accepted. Both false acceptances occurred with an impostor who shares demographic similarity with the enrolled user (same age, similar skin tone, similar facial structure) — a known limitation of distance-threshold face recognition noted by King [13]. Reducing τ from 0.65 to 0.55 is expected to resolve this, with the trade-off of a modest increase in FRR under challenging lighting conditions.</w:t>
      </w:r>
    </w:p>
    <w:p>
      <w:pPr>
        <w:spacing w:after="80" w:before="180"/>
        <w:jc w:val="left"/>
      </w:pPr>
      <w:r>
        <w:rPr>
          <w:rFonts w:ascii="Times New Roman" w:cs="Times New Roman" w:eastAsia="Times New Roman" w:hAnsi="Times New Roman"/>
          <w:b/>
          <w:bCs/>
          <w:sz w:val="20"/>
          <w:szCs w:val="20"/>
        </w:rPr>
        <w:t xml:space="preserve">6.2  Limitations and Mitigation</w:t>
      </w:r>
    </w:p>
    <w:p>
      <w:pPr>
        <w:spacing w:after="80" w:before="80"/>
        <w:jc w:val="both"/>
      </w:pPr>
      <w:r>
        <w:rPr>
          <w:rFonts w:ascii="Times New Roman" w:cs="Times New Roman" w:eastAsia="Times New Roman" w:hAnsi="Times New Roman"/>
          <w:sz w:val="20"/>
          <w:szCs w:val="20"/>
        </w:rPr>
        <w:t xml:space="preserve">Three specific limitations are acknowledged. First, the gesture vocabulary of six classes is small relative to full sign-language systems. Expanding to 20+ classes would require either a larger rule-based mapping (feasible for rule-based extension vectors only up to ~10 classes) or migration to a trained ML classifier (e.g., an SVM or small CNN on MediaPipe landmarks), which could be embedded within the same pipeline. Second, the FAR of 11.8% is above the 5% target. As discussed above, threshold tightening at τ = 0.55 is the immediate mitigation. Third, Voice Monkey API latency of ~1,726 ms is beyond the application’s control; users with low-latency internet connections in North America or Europe would experience substantially lower end-to-end latency.</w:t>
      </w:r>
    </w:p>
    <w:p>
      <w:pPr>
        <w:spacing w:after="80" w:before="180"/>
        <w:jc w:val="left"/>
      </w:pPr>
      <w:r>
        <w:rPr>
          <w:rFonts w:ascii="Times New Roman" w:cs="Times New Roman" w:eastAsia="Times New Roman" w:hAnsi="Times New Roman"/>
          <w:b/>
          <w:bCs/>
          <w:sz w:val="20"/>
          <w:szCs w:val="20"/>
        </w:rPr>
        <w:t xml:space="preserve">6.3  Broader Applicability</w:t>
      </w:r>
    </w:p>
    <w:p>
      <w:pPr>
        <w:spacing w:after="80" w:before="80"/>
        <w:jc w:val="both"/>
      </w:pPr>
      <w:r>
        <w:rPr>
          <w:rFonts w:ascii="Times New Roman" w:cs="Times New Roman" w:eastAsia="Times New Roman" w:hAnsi="Times New Roman"/>
          <w:sz w:val="20"/>
          <w:szCs w:val="20"/>
        </w:rPr>
        <w:t xml:space="preserve">Although evaluated on Amazon Echo Dot, the control path is hardware-agnostic at the Voice Monkey layer: any Alexa-compatible smart home device (smart bulbs, smart locks, thermostats) accessible via an Alexa Routine can be controlled without modification to the gesture pipeline. The monitor path (Lambda + DynamoDB + Alexa Skill) is equally portable; the DynamoDB schema is device-independent. The face authentication gate is personnel-independent: any user can enroll by running the single-command enrollment script. The system therefore constitutes a general accessibility middleware layer for voice-assistant ecosystems, applicable beyond the smart speaker use case to smart locks, smart TV controls, and contactless hospital call systems.</w:t>
      </w:r>
    </w:p>
    <w:p>
      <w:pPr>
        <w:spacing w:after="120" w:before="240"/>
        <w:jc w:val="left"/>
      </w:pPr>
      <w:r>
        <w:rPr>
          <w:rFonts w:ascii="Times New Roman" w:cs="Times New Roman" w:eastAsia="Times New Roman" w:hAnsi="Times New Roman"/>
          <w:b/>
          <w:bCs/>
          <w:sz w:val="24"/>
          <w:szCs w:val="24"/>
        </w:rPr>
        <w:t xml:space="preserve">7.  Conclusion</w:t>
      </w:r>
    </w:p>
    <w:p>
      <w:pPr>
        <w:spacing w:after="80" w:before="80"/>
        <w:jc w:val="both"/>
      </w:pPr>
      <w:r>
        <w:rPr>
          <w:rFonts w:ascii="Times New Roman" w:cs="Times New Roman" w:eastAsia="Times New Roman" w:hAnsi="Times New Roman"/>
          <w:sz w:val="20"/>
          <w:szCs w:val="20"/>
        </w:rPr>
        <w:t xml:space="preserve">This paper presented a complete, deployable gesture-based silent control system for Amazon Echo Dot, addressing the accessibility gap faced by the 430 million people worldwide with hearing or speech impairments. The system integrates CLAHE-adaptive preprocessing, MediaPipe-based landmark extraction, a rule-based temporal-stability classifier, dlib batch-voting face authentication, an emergency alerting subsystem, and dual-path cloud integration (Voice Monkey + AWS Lambda/DynamoDB) in a single real-time pipeline.</w:t>
      </w:r>
    </w:p>
    <w:p>
      <w:pPr>
        <w:spacing w:after="80" w:before="80"/>
        <w:jc w:val="both"/>
      </w:pPr>
      <w:r>
        <w:rPr>
          <w:rFonts w:ascii="Times New Roman" w:cs="Times New Roman" w:eastAsia="Times New Roman" w:hAnsi="Times New Roman"/>
          <w:sz w:val="20"/>
          <w:szCs w:val="20"/>
        </w:rPr>
        <w:t xml:space="preserve">Experimental evaluation over 540 gesture trials demonstrated a mean recognition accuracy of 93.9% across bright, normal, and low-light conditions, with a peak of 96.1% under normal illumination. The temporal stability buffer reduced the false trigger rate from 113.3% (no buffering) to 10.0% (N = 10) with zero false triggers achievable at N = 15. Face authentication over 37 trials achieved 100.0% TAR, 0.0% FRR, and 11.8% FAR (reducible by threshold adjustment). The local processing pipeline runs at a median of 156 ms, enabling real-time interaction. The emergency subsystem fires within 2.5 s of the trigger gesture being held.</w:t>
      </w:r>
    </w:p>
    <w:p>
      <w:pPr>
        <w:spacing w:after="80" w:before="80"/>
        <w:jc w:val="both"/>
      </w:pPr>
      <w:r>
        <w:rPr>
          <w:rFonts w:ascii="Times New Roman" w:cs="Times New Roman" w:eastAsia="Times New Roman" w:hAnsi="Times New Roman"/>
          <w:sz w:val="20"/>
          <w:szCs w:val="20"/>
        </w:rPr>
        <w:t xml:space="preserve">Future work will focus on: (i) expanding the gesture vocabulary to 10+ classes using a trained landmark-based classifier; (ii) tightening the face distance threshold to reduce FAR below 5%; (iii) piloting the system with actual hearing-impaired users to validate accessibility outcomes; and (iv) investigating edge-device deployment on a Raspberry Pi 5 to decouple the system from a laptop host.</w:t>
      </w:r>
    </w:p>
    <w:p>
      <w:pPr>
        <w:spacing w:after="120" w:before="240"/>
        <w:jc w:val="left"/>
      </w:pPr>
      <w:r>
        <w:rPr>
          <w:rFonts w:ascii="Times New Roman" w:cs="Times New Roman" w:eastAsia="Times New Roman" w:hAnsi="Times New Roman"/>
          <w:b/>
          <w:bCs/>
          <w:sz w:val="24"/>
          <w:szCs w:val="24"/>
        </w:rPr>
        <w:t xml:space="preserve">  Acknowledgments</w:t>
      </w:r>
    </w:p>
    <w:p>
      <w:pPr>
        <w:spacing w:after="80" w:before="80"/>
        <w:jc w:val="both"/>
      </w:pPr>
      <w:r>
        <w:rPr>
          <w:rFonts w:ascii="Times New Roman" w:cs="Times New Roman" w:eastAsia="Times New Roman" w:hAnsi="Times New Roman"/>
          <w:sz w:val="20"/>
          <w:szCs w:val="20"/>
        </w:rPr>
        <w:t xml:space="preserve">The authors thank Prof. Darshana A. Naik, Department of Computer Science and Engineering, M.S. Ramaiah Institute of Technology, for guidance and project supervision throughout this work. The authors also acknowledge the laboratory facilities of the Department of CSE, MSRIT, and the open-source communities behind MediaPipe [11], dlib [13], Voice Monkey [12], and the Alexa Skills Kit.</w:t>
      </w:r>
    </w:p>
    <w:p>
      <w:pPr>
        <w:spacing w:after="120" w:before="240"/>
        <w:jc w:val="left"/>
      </w:pPr>
      <w:r>
        <w:rPr>
          <w:rFonts w:ascii="Times New Roman" w:cs="Times New Roman" w:eastAsia="Times New Roman" w:hAnsi="Times New Roman"/>
          <w:b/>
          <w:bCs/>
          <w:sz w:val="24"/>
          <w:szCs w:val="24"/>
        </w:rPr>
        <w:t xml:space="preserve">  References</w:t>
      </w:r>
    </w:p>
    <w:p>
      <w:pPr>
        <w:spacing w:after="80" w:before="8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Zhang, L., Wang, H., Liu, Y.: Spatial CNN with bidirectional LSTM for dynamic hand gesture recognition in sign language. Pattern Recognit. 134, 109073 (2023)</w:t>
      </w:r>
    </w:p>
    <w:p>
      <w:pPr>
        <w:spacing w:after="80" w:before="8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Kumar, A., Patel, R., Singh, M.: Multimodal gesture fusion for smart home control: combining IMU and visual landmark streams. IEEE Internet Things J. 10(8), 7321–7334 (2023)</w:t>
      </w:r>
    </w:p>
    <w:p>
      <w:pPr>
        <w:spacing w:after="80" w:before="8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Chen, X., Zhao, Y., Li, W.: Real-time hand gesture recognition for IoT home automation on resource-constrained edge devices. Sensors 22(14), 5387 (2022)</w:t>
      </w:r>
    </w:p>
    <w:p>
      <w:pPr>
        <w:spacing w:after="80" w:before="8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Nguyen, T., Tran, H., Pham, Q.: Gesture-to-Alexa-Command bridging: integrating hand gesture recognition with Amazon Echo via Alexa Skills Kit. In: Proc. IEEE Int. Conf. Consumer Electron., pp. 1–5 (2022)</w:t>
      </w:r>
    </w:p>
    <w:p>
      <w:pPr>
        <w:spacing w:after="80" w:before="8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Wang, Z., Liu, J., Sun, K.: Lighting robustness in landmark-based hand gesture recognition: a systematic evaluation of CLAHE and histogram normalisation. Image Vis. Comput. 117, 104345 (2022)</w:t>
      </w:r>
    </w:p>
    <w:p>
      <w:pPr>
        <w:spacing w:after="80" w:before="80"/>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Li, F., Zhou, Q., Xu, R.: DenseNet-201 combined with MediaPipe for high-accuracy hand gesture classification. Expert Syst. Appl. 215, 119381 (2023)</w:t>
      </w:r>
    </w:p>
    <w:p>
      <w:pPr>
        <w:spacing w:after="80" w:before="80"/>
        <w:jc w:val="both"/>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Patel, N., Mehta, S., Joshi, A.: CLAHE-enhanced hand gesture recognition for Indian sign language under variable illumination. In: Proc. Int. Conf. Pattern Recognit. Appl. Methods, pp. 312–319 (2021)</w:t>
      </w:r>
    </w:p>
    <w:p>
      <w:pPr>
        <w:spacing w:after="80" w:before="80"/>
        <w:jc w:val="both"/>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Sharma, R., Gupta, P., Verma, K.: Batch-voting face authentication for gesture-controlled interactive displays. Multimed. Tools Appl. 81(22), 32145–32162 (2022)</w:t>
      </w:r>
    </w:p>
    <w:p>
      <w:pPr>
        <w:spacing w:after="80" w:before="80"/>
        <w:jc w:val="both"/>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Park, J., Kim, S., Lee, D.: Serverless IoT command logging: a latency and availability benchmark of AWS Lambda, Google Cloud Functions, and Azure Functions. Cloud Comput. 10(3), 44–56 (2023)</w:t>
      </w:r>
    </w:p>
    <w:p>
      <w:pPr>
        <w:spacing w:after="80" w:before="80"/>
        <w:jc w:val="both"/>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Hassan, M., Ali, A., Rahman, F.: Alexa skill integration with DynamoDB for smart home automation history retrieval. In: Proc. IEEE Int. Conf. Smart Cities Inf. Technol., pp. 88–93 (2021)</w:t>
      </w:r>
    </w:p>
    <w:p>
      <w:pPr>
        <w:spacing w:after="80" w:before="80"/>
        <w:jc w:val="both"/>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Lugaresi, C., Tang, J., Nash, H., et al.: MediaPipe: a framework for building perception pipelines. arXiv:1906.08172 (2019)</w:t>
      </w:r>
    </w:p>
    <w:p>
      <w:pPr>
        <w:spacing w:after="80" w:before="80"/>
        <w:jc w:val="both"/>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Voice Monkey: Proactive notifications for Alexa — developer documentation. https://voicemonkey.io/docs (2023). Accessed 28 Apr 2025</w:t>
      </w:r>
    </w:p>
    <w:p>
      <w:pPr>
        <w:spacing w:after="80" w:before="80"/>
        <w:jc w:val="both"/>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King, D.E.: Dlib-ml: a machine learning toolkit. J. Mach. Learn. Res. 10, 1755–1758 (2009)</w:t>
      </w:r>
    </w:p>
    <w:p>
      <w:pPr>
        <w:spacing w:after="80" w:before="80"/>
        <w:jc w:val="both"/>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Twilio Inc.: Programmable Voice and SMS — REST API reference. https://www.twilio.com/docs (2023). Accessed 28 Apr 2025</w:t>
      </w:r>
    </w:p>
    <w:p>
      <w:pPr>
        <w:spacing w:after="80" w:before="80"/>
        <w:jc w:val="both"/>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World Health Organization: World Report on Hearing. WHO Press, Geneva (2021)</w:t>
      </w:r>
    </w:p>
    <w:p>
      <w:pPr>
        <w:spacing w:after="80" w:before="80"/>
        <w:jc w:val="both"/>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Amazon Web Services: AWS Lambda developer guide — building Alexa Skills. https://docs.aws.amazon.com/lambda (2023). Accessed 28 Apr 2025</w:t>
      </w:r>
    </w:p>
    <w:p>
      <w:pPr>
        <w:spacing w:after="80" w:before="80"/>
        <w:jc w:val="both"/>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Amazon Developer: Alexa Skills Kit — custom skills documentation. https://developer.amazon.com/alexa/alexa-skills-kit (2023). Accessed 28 Apr 2025</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2026-05-18T14:07:27.858Z</dcterms:created>
  <dcterms:modified xsi:type="dcterms:W3CDTF">2026-05-18T14:07:27.863Z</dcterms:modified>
</cp:coreProperties>
</file>

<file path=docProps/custom.xml><?xml version="1.0" encoding="utf-8"?>
<Properties xmlns="http://schemas.openxmlformats.org/officeDocument/2006/custom-properties" xmlns:vt="http://schemas.openxmlformats.org/officeDocument/2006/docPropsVTypes"/>
</file>