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rFonts w:ascii="PingFang SC" w:cs="PingFang SC" w:eastAsia="PingFang SC" w:hAnsi="PingFang SC"/>
          <w:b/>
          <w:bCs/>
          <w:i w:val="false"/>
          <w:iCs w:val="false"/>
          <w:sz w:val="56"/>
          <w:szCs w:val="56"/>
        </w:rPr>
        <w:t xml:space="preserve">站内转账（P2P）</w:t>
      </w:r>
    </w:p>
    <w:p>
      <w:pPr>
        <w:spacing w:after="0" w:before="120"/>
        <w:jc w:val="center"/>
      </w:pPr>
      <w:r>
        <w:rPr>
          <w:rFonts w:ascii="PingFang SC" w:cs="PingFang SC" w:eastAsia="PingFang SC" w:hAnsi="PingFang SC"/>
          <w:b/>
          <w:bCs/>
          <w:i w:val="false"/>
          <w:iCs w:val="false"/>
          <w:color w:val="555555"/>
          <w:sz w:val="36"/>
          <w:szCs w:val="36"/>
        </w:rPr>
        <w:t xml:space="preserve">产品需求文档 · PRD</w:t>
      </w:r>
    </w:p>
    <w:p>
      <w:pPr>
        <w:spacing w:after="0" w:before="1200"/>
        <w:jc w:val="center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sz w:val="26"/>
          <w:szCs w:val="26"/>
        </w:rPr>
        <w:t xml:space="preserve">版本 V1.0</w:t>
      </w:r>
    </w:p>
    <w:p>
      <w:pPr>
        <w:spacing w:after="0" w:before="100"/>
        <w:jc w:val="center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  <w:sz w:val="24"/>
          <w:szCs w:val="24"/>
        </w:rPr>
        <w:t xml:space="preserve">日期：2026-08-24　|　作者：Rhys</w:t>
      </w:r>
    </w:p>
    <w:p>
      <w:pPr>
        <w:spacing w:after="0" w:before="100"/>
        <w:jc w:val="center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  <w:sz w:val="24"/>
          <w:szCs w:val="24"/>
        </w:rPr>
        <w:t xml:space="preserve">需求类型：0→1　|　规模：L　|　依据：规则台账 v1.7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一、需求分析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1.1 用户分析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目标用户：平台已注册并完成登录的用户。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核心场景：用户需向平台内其他用户转移资产，典型如朋友间 AA、借还款、社群/团队打款等，且希望免手续费、实时到账、无需填写链上地址。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用户痛点：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走链上提现需选择网络、填写地址、支付网络手续费、等待区块确认；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链上地址一旦填错，资产不可逆丢失，操作门槛与风险较高。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产品价值：以「仅凭对方 UID、免费、实时」的方式完成站内资金流转，降低操作成本与出错风险，提升平台内资金流转效率与用户黏性，沉淀站内资金。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1.2 竞品分析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【待补充】——本次需求未开展竞品调研。后续如需，可补充主流交易所站内转账/支付类产品（如币安 Pay、OKX 内部转账等）的对比分析。</w:t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二、产品概述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2.1 产品逻辑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2.1.1 主流程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入口：用户在【资产】页点击【提现】，选择提现方式（链上提现 / 内部转账），选择【内部转账】进入本流程。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发起：选择币种 → 输入收款人 UID（系统实时前置校验该 UID 是否存在）→ 输入转账数量（前置校验可用余额）→ 填写留言（选填，最多 20 字）。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确认与验证：进入【确认并验证】页/弹窗，展示转账摘要（收款方 UID、免手续费、实际到账、实时到账·不可撤销），并完成安全验证。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执行：系统以强原子方式执行「付款方扣款 + 收款方入账」，两者同成同败。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结果与查询：展示转账结果（成功页含留言 / 失败页明确未扣款），用户可在转账记录中查看（仅成功记录），并进入收款人/付款人各自视角的详情页。</w:t>
      </w:r>
    </w:p>
    <w:p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/>
      </w:r>
    </w:p>
    <w:p>
      <w:pPr>
        <w:spacing w:after="12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主流程步骤概览：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3960"/>
      </w:tblGrid>
      <w:tr>
        <w:trPr>
          <w:tblHeader/>
        </w:trPr>
        <w:tc>
          <w:tcPr>
            <w:tcW w:type="dxa" w:w="14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环节</w:t>
            </w:r>
          </w:p>
        </w:tc>
        <w:tc>
          <w:tcPr>
            <w:tcW w:type="dxa" w:w="4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用户动作</w:t>
            </w:r>
          </w:p>
        </w:tc>
        <w:tc>
          <w:tcPr>
            <w:tcW w:type="dxa" w:w="39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系统行为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入口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资产页点「提现」→ 选「内部转账」</w:t>
            </w:r>
          </w:p>
        </w:tc>
        <w:tc>
          <w:tcPr>
            <w:tcW w:type="dxa" w:w="39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App 弹出方式选择弹窗；Web 以 Tab 区分</w:t>
            </w:r>
          </w:p>
        </w:tc>
      </w:tr>
      <w:tr>
        <w:tc>
          <w:tcPr>
            <w:tcW w:type="dxa" w:w="14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</w:t>
            </w:r>
          </w:p>
        </w:tc>
        <w:tc>
          <w:tcPr>
            <w:tcW w:type="dxa" w:w="4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输入收款人 UID / 数量 / 留言</w:t>
            </w:r>
          </w:p>
        </w:tc>
        <w:tc>
          <w:tcPr>
            <w:tcW w:type="dxa" w:w="39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实时校验 UID 是否存在、余额是否充足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确认验证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核对摘要 + 输入验证码</w:t>
            </w:r>
          </w:p>
        </w:tc>
        <w:tc>
          <w:tcPr>
            <w:tcW w:type="dxa" w:w="39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校验邮箱验证码（及 2FA）</w:t>
            </w:r>
          </w:p>
        </w:tc>
      </w:tr>
      <w:tr>
        <w:tc>
          <w:tcPr>
            <w:tcW w:type="dxa" w:w="14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执行</w:t>
            </w:r>
          </w:p>
        </w:tc>
        <w:tc>
          <w:tcPr>
            <w:tcW w:type="dxa" w:w="4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点击确认转账</w:t>
            </w:r>
          </w:p>
        </w:tc>
        <w:tc>
          <w:tcPr>
            <w:tcW w:type="dxa" w:w="39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强原子执行：扣款 + 入账，同成同败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结果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查看结果</w:t>
            </w:r>
          </w:p>
        </w:tc>
        <w:tc>
          <w:tcPr>
            <w:tcW w:type="dxa" w:w="39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成功即时到账 / 失败整体回滚未扣款</w:t>
            </w:r>
          </w:p>
        </w:tc>
      </w:tr>
    </w:tbl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2.1.2 订单状态机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前置拦截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（余额不足 / UID 不存在）：在发起页提交前阻断，不生成订单。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处理中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：原子事务执行中（实时，通常极短暂）。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成功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：扣款腿与入账腿均成功，资产实时到账。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失败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：系统异常/网络超时，整体回滚，用户未扣款。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说明：因账务强原子，系统不存在「已扣未入」中间态。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2.2 功能架构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C 端：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提现入口区分 / 内部转账发起 / 安全验证 / 转账结果 / 转账记录 / 收付双视角详情。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管理后台：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转账流水查询 / 状态监控（成功 · 处理中 · 失败），仅查询监控，无人工补账处置。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2.3 术语解释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术语</w:t>
            </w:r>
          </w:p>
        </w:tc>
        <w:tc>
          <w:tcPr>
            <w:tcW w:type="dxa" w:w="71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解释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站内转账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平台内用户之间的资金划转，不上链、实时到账、免手续费。</w:t>
            </w:r>
          </w:p>
        </w:tc>
      </w:tr>
      <w:tr>
        <w:tc>
          <w:tcPr>
            <w:tcW w:type="dxa" w:w="2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</w:t>
            </w:r>
          </w:p>
        </w:tc>
        <w:tc>
          <w:tcPr>
            <w:tcW w:type="dxa" w:w="71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平台用户唯一标识，内部转账收款人的唯一识别方式。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扣款腿 / 入账腿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一笔转账中「付款方扣款」与「收款方入账」两个动作。</w:t>
            </w:r>
          </w:p>
        </w:tc>
      </w:tr>
      <w:tr>
        <w:tc>
          <w:tcPr>
            <w:tcW w:type="dxa" w:w="2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</w:t>
            </w:r>
          </w:p>
        </w:tc>
        <w:tc>
          <w:tcPr>
            <w:tcW w:type="dxa" w:w="71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扣款腿与入账腿同成同败，绝不出现「已扣未入」。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2FA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身份验证器（如 Google Authenticator）生成的动态验证码。</w:t>
            </w:r>
          </w:p>
        </w:tc>
      </w:tr>
      <w:tr>
        <w:tc>
          <w:tcPr>
            <w:tcW w:type="dxa" w:w="2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前置拦截</w:t>
            </w:r>
          </w:p>
        </w:tc>
        <w:tc>
          <w:tcPr>
            <w:tcW w:type="dxa" w:w="71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在发起页提交前即校验并阻断（如余额不足、UID 不存在），不生成订单。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2.4 重要信息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项</w:t>
            </w:r>
          </w:p>
        </w:tc>
        <w:tc>
          <w:tcPr>
            <w:tcW w:type="dxa" w:w="63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结论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手续费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不收取，收款方到账金额 = 付款方转账数量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到账时效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实时到账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可否撤销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不可撤销，无撤销/退回功能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收款人识别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仅支持 UID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名称展示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全流程只显 UID，不展示昵称/实名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限额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不做限额（单笔/单日均不限）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KYC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不做 KYC 验证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风控拦截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当前版本不做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地区限制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不做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账务一致性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强原子（同成同败）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2.5 上线节奏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一期：内部转账（本文档范围）。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链上提现：入口已与内部转账并列展示，其具体流程不在本次需求范围内。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三、需求说明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3.1 功能列表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760"/>
        <w:gridCol w:w="1000"/>
      </w:tblGrid>
      <w:tr>
        <w:trPr>
          <w:tblHeader/>
        </w:trPr>
        <w:tc>
          <w:tcPr>
            <w:tcW w:type="dxa" w:w="2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功能</w:t>
            </w:r>
          </w:p>
        </w:tc>
        <w:tc>
          <w:tcPr>
            <w:tcW w:type="dxa" w:w="57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说明</w:t>
            </w:r>
          </w:p>
        </w:tc>
        <w:tc>
          <w:tcPr>
            <w:tcW w:type="dxa" w:w="1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优先级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提现入口区分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提现下分「链上提现 / 内部转账」；Web 以 Tab 区分，App 点提现弹窗二选一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内部转账发起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选币种 + 输入收款人 UID + 数量 + 留言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 前置校验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实时校验 UID 是否存在，不存在则拦截，仅返回是否有效、不返回名称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余额前置拦截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余额不足在发起页拦截（下一步置灰 + 行内提示），不生成订单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安全验证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已绑 2FA：邮箱验证码 + 2FA 双重；未绑 2FA：仅邮箱验证码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实时到账与结果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强原子执行，成功/失败结果页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转账记录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仅展示成功转账记录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收付双视角详情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转出（付款人视角）/ 转入（收款人视角）详情页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留言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收付双方可见，详情页 + 结果页展示，最多 20 字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管理后台流水监控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流水查询 + 状态监控（仅查询，无人工补账）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 页面交互流程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3.2.1 App 流程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资产页 →（点提现，底部弹窗二选一）→ 内部转账发起页 → 确认并验证页（摘要 + 安全验证合一）→ 结果页 → 转账记录 → 收/付详情页。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说明：App 已取消独立「确认转账」页，发起页「下一步」直达「确认并验证」页，减少一步操作。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3.2.2 Web 流程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提现页（左侧步骤条：① 选择币种 → ② 选择收款人；收款人处以 Tab 区分「链上提现 / 内部转账」）→ 内部转账表单 → 确认弹窗（摘要 + 验证合一）→ 结果页 → 转账记录（表格）→ 收/付详情页。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3.2.3 多端差异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830"/>
        <w:gridCol w:w="3830"/>
      </w:tblGrid>
      <w:tr>
        <w:trPr>
          <w:tblHeader/>
        </w:trPr>
        <w:tc>
          <w:tcPr>
            <w:tcW w:type="dxa" w:w="17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维度</w:t>
            </w:r>
          </w:p>
        </w:tc>
        <w:tc>
          <w:tcPr>
            <w:tcW w:type="dxa" w:w="383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App</w:t>
            </w:r>
          </w:p>
        </w:tc>
        <w:tc>
          <w:tcPr>
            <w:tcW w:type="dxa" w:w="383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Web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提现方式选择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点提现弹出底部弹窗二选一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提现页内 Tab 区分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发起布局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分步单列，逐屏推进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步骤条 + 单列表单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确认与验证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独立「确认并验证」页（摘要 + 验证）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模态弹窗（摘要 + 验证合一）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记录呈现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列表卡片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表格（多列）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核心规则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两端完全一致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两端完全一致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H5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默认复用 App 交互（窄屏单列）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 原型及说明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</w:rPr>
        <w:t xml:space="preserve">以下按 MECE 原则逐页拆解页面逻辑；原型截图由 PM 从原型文件截取后插入对应占位处。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3.3.1 资产页（App，提现入口）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【原型截图占位：资产页（App，提现入口）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顶部展示总资产估值；下方三个操作入口：充值 / 提现 / 划转。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点击【提现】触发提现方式选择弹窗（见下一页）。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币种列表展示各币种余额（USDT/BTC/ETH 等）。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3.3.2 提现方式选择（App 弹窗 / Web Tab）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【原型截图占位：提现方式选择（App 弹窗 / Web Tab）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App：底部弹窗，两个选项——「链上提现」（提到外部地址，需选网络、收网络费）、「内部转账」（转给站内用户，实时到账、免手续费）。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Web：提现页收款人区域以 Tab 区分「链上提现 / 内部转账」。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选择「内部转账」进入内部转账发起；「链上提现」流程不在本次范围。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3.3.3 内部转账发起页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【原型截图占位：内部转账发起页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币种：默认带入所选币种，可切换。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收款人 UID：输入后实时前置校验——有效则提示「✓ 该 UID 有效，可接收转账（仅校验存在，不展示对方名称）」；不存在则行内红字提示并置灰下一步。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转账数量：展示可用余额，标注「不限额、免手续费」；余额不足时行内红字提示并置灰下一步。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留言：选填，收付双方可见，最多 20 字。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底部提示：实时到账、不可撤销、免手续费。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3.3.4 确认并验证页（App）/ 确认弹窗（Web）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【原型截图占位：确认并验证页（App）/ 确认弹窗（Web）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摘要区：收款方（UID）、手续费（免手续费）、实际到账、到账时间（实时 · 不可撤销）。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安全验证区：邮箱验证码（含「获取验证码」与倒计时）；身份验证器（2FA）验证码。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条件展示：已绑 2FA 用户两项均需填写；未绑 2FA 用户不展示 2FA 输入框，仅需邮箱验证码，并提示建议前往安全设置绑定。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验证不区分金额（不分级）。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3.3.5 转账结果页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【原型截图占位：转账结果页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成功态：展示到账金额、收款方 UID、留言、到账时间、订单号；入口返回资产页/查看记录。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失败态：仅「系统异常 / 网络超时」，明确「未扣款，资金仍在你的账户」（因强原子整体回滚）。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余额不足、UID 不存在等已在发起页前置拦截，不进入结果失败态。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3.3.6 转账记录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【原型截图占位：转账记录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仅展示成功转账记录（失败不入列表）。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区分转出（-）/ 转入（+），展示对方 UID、时间、金额、状态。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点击某条进入对应视角详情页。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3.3.7 收款人 / 付款人详情页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【原型截图占位：收款人 / 付款人详情页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转出详情（付款人视角）：展示收款方 UID、手续费（免）、留言、创建时间、订单号。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转入详情（收款人视角）：展示付款方 UID、留言、到账时间、订单号（收款方不展示手续费）。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留言在收付双方详情页均展示。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3.3.8 管理后台（流水查询 + 监控）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【原型截图占位：管理后台（流水查询 + 监控）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顶部指标：今日转账 / 成功 / 处理中 / 失败（已回滚·未扣款）。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筛选：订单号、付款方 UID、收款方 UID、状态、日期。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流水表：订单号、付款方 UID、收款方 UID、币种、金额、状态、扣款/入账双腿、创建时间。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详情抽屉：双腿状态（扣款腿 / 入账腿）+ 账务一致性（强原子）+ 时间线；仅查询监控，无人工补账动作。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隐私：后台同样只显 UID，如需用户身份跳用户管理系统，操作留痕。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3.4 边界 Case 表格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80"/>
        <w:gridCol w:w="3280"/>
      </w:tblGrid>
      <w:tr>
        <w:trPr>
          <w:tblHeader/>
        </w:trPr>
        <w:tc>
          <w:tcPr>
            <w:tcW w:type="dxa" w:w="2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场景</w:t>
            </w:r>
          </w:p>
        </w:tc>
        <w:tc>
          <w:tcPr>
            <w:tcW w:type="dxa" w:w="348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触发条件</w:t>
            </w:r>
          </w:p>
        </w:tc>
        <w:tc>
          <w:tcPr>
            <w:tcW w:type="dxa" w:w="328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系统行为 / 预期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余额不足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转账数量 &gt; 可用余额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发起页前置拦截，行内红字提示，下一步置灰，不生成订单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 不存在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输入的 UID 不存在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发起页前置拦截，行内红字提示，下一步置灰；后端提交时二次校验兜底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未绑定 2FA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收款人所属付款方账户未绑 2FA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不展示 2FA 输入框，仅需邮箱验证码，不强制绑定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邮箱验证码错误/过期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验证码不正确或超时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提示错误并要求重新输入/重新获取，转账不执行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2FA 验证码错误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已绑 2FA 用户 2FA 不正确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提示错误，转账不执行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系统异常/网络超时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提交后执行失败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整体回滚，未扣款，展示失败结果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留言超长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留言输入超过 20 字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限制输入不可超过 20 字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转账给自己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收款人 UID = 付款人自己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⚠️ 待确认：是否允许转给自己（建议拦截）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收款方账户异常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收款方账户被冻结/限制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⚠️ 待确认：当前版本不做风控，是否需拦截收款方异常账户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重复提交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用户短时间重复点击确认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需保证幂等，仅执行一笔（实现层保障）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四、数据埋点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</w:rPr>
        <w:t xml:space="preserve">以下穷举关键用户行为事件，上报参数以业务语言描述。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事件名</w:t>
            </w:r>
          </w:p>
        </w:tc>
        <w:tc>
          <w:tcPr>
            <w:tcW w:type="dxa" w:w="32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触发时机</w:t>
            </w:r>
          </w:p>
        </w:tc>
        <w:tc>
          <w:tcPr>
            <w:tcW w:type="dxa" w:w="35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上报参数（业务语言）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进入资产页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资产页曝光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 UID、进入时间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点击提现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资产页点击提现（弹窗曝光）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 UID、来源页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选择提现方式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在弹窗/Tab 选择方式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方式（链上/内部）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进入内部转账发起页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发起页曝光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币种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 校验结果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输入 UID 完成校验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校验结果（有效/不存在）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点击下一步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发起页点击下一步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币种、金额、是否带留言、拦截结果（通过/余额不足/UID不存在）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进入确认并验证页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确认并验证页/弹窗曝光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币种、金额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获取邮箱验证码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点击获取验证码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 UID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提交安全验证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点击确认转账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是否已绑 2FA、验证结果（成功/失败/失败原因）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转账结果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结果页曝光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结果（成功/失败）、失败原因（如系统异常）、金额、币种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查看转账记录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记录列表曝光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记录条数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查看转账详情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详情页曝光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视角（转出/转入）、订单号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五、API 相关调整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</w:rPr>
        <w:t xml:space="preserve">本章为唯一涉及实现层的章节，说明本次需求涉及的接口变动方向（非完整接口定义）。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UID 存在性校验接口（新增）：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供发起页实时校验收款人 UID 是否存在，仅返回是否有效，不返回用户名称等敏感信息。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发起内部转账接口（新增）：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以强原子事务完成「付款方扣款 + 收款方入账」，保证同成同败；需支持幂等，防止重复提交产生多笔。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邮箱验证码发送 / 校验接口（新增或复用）：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发送邮箱验证码；提交时校验邮箱验证码，已绑 2FA 用户同时校验 2FA。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转账记录列表接口（新增）：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仅返回成功记录，区分转出/转入。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转账详情接口（新增）：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按视角返回转出（含收款方、免手续费、留言）/ 转入（含付款方、留言）详情。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管理后台流水查询接口（新增）：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支持按订单号、付款方/收款方 UID、状态、时间查询全部状态流水；返回双腿状态用于监控。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账务一致性保障：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扣款与入账须在同一事务/分布式事务内，失败整体回滚，杜绝「已扣未入」。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版本历史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000"/>
        <w:gridCol w:w="4560"/>
      </w:tblGrid>
      <w:tr>
        <w:trPr>
          <w:tblHeader/>
        </w:trPr>
        <w:tc>
          <w:tcPr>
            <w:tcW w:type="dxa" w:w="12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版本</w:t>
            </w:r>
          </w:p>
        </w:tc>
        <w:tc>
          <w:tcPr>
            <w:tcW w:type="dxa" w:w="1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日期</w:t>
            </w:r>
          </w:p>
        </w:tc>
        <w:tc>
          <w:tcPr>
            <w:tcW w:type="dxa" w:w="2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阶段</w:t>
            </w:r>
          </w:p>
        </w:tc>
        <w:tc>
          <w:tcPr>
            <w:tcW w:type="dxa" w:w="45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变更摘要 / 原因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V1.0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2026-08-24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定稿（原型驱动）</w:t>
            </w:r>
          </w:p>
        </w:tc>
        <w:tc>
          <w:tcPr>
            <w:tcW w:type="dxa" w:w="4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首版；依据规则台账 v1.7（R-01～R-20）经原型迭代收敛后产出</w:t>
            </w:r>
          </w:p>
        </w:tc>
      </w:tr>
    </w:tbl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PRD 自检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✅ AI 已确认（核查通过项）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资产平账：转账采用强原子（R-18），扣款/入账同成同败，无「已扣未入」，失败整体回滚未扣款。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内容口径一致：手续费/到账/不可撤销/仅 UID 等口径在发起、确认、结果、详情各页一致。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隐私：全流程只显 UID（R-14），UID 校验仅返回是否存在、不返回名称（R-15），降低身份反查风险。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⚠️ 待人工确认（需 PM / 合规 / 风控决策，AI 不得标为通过）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风控漏洞：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当前版本不做风控拦截（R-07），站内转账无异常账户/异常频率拦截，存在盗号后资金被快速转移的风险，需风控/合规评估是否可接受。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受限地区：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不做地区限制（R-08），需合规确认是否存在司法辖区要求。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KYC 门槛：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不做 KYC（R-05），需合规确认是否满足 AML 要求。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内容防污染：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留言收付双方可见，敏感词过滤 / 举报屏蔽机制尚未确定（台账 Q-02 遗留），需确认。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边界待拍板：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「转账给自己」是否拦截、「收款方账户异常」是否处理（详见 3.4 边界 Case）。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ingFang SC" w:cs="PingFang SC" w:eastAsia="PingFang SC" w:hAnsi="PingFang SC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PingFang SC" w:cs="PingFang SC" w:eastAsia="PingFang SC" w:hAnsi="PingFang SC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PingFang SC" w:cs="PingFang SC" w:eastAsia="PingFang SC" w:hAnsi="PingFang SC"/>
      <w:b/>
      <w:bCs/>
      <w:color w:val="1F2A37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PingFang SC" w:cs="PingFang SC" w:eastAsia="PingFang SC" w:hAnsi="PingFang SC"/>
      <w:b/>
      <w:bCs/>
      <w:color w:val="374151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2026-08-24T08:09:10.797Z</dcterms:created>
  <dcterms:modified xsi:type="dcterms:W3CDTF">2026-08-24T08:09:10.802Z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