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PingFang SC" w:cs="PingFang SC" w:eastAsia="PingFang SC" w:hAnsi="PingFang SC"/>
          <w:b/>
          <w:bCs/>
          <w:i w:val="false"/>
          <w:iCs w:val="false"/>
          <w:sz w:val="56"/>
          <w:szCs w:val="56"/>
        </w:rPr>
        <w:t xml:space="preserve">站内转账（P2P）</w:t>
      </w:r>
    </w:p>
    <w:p>
      <w:pPr>
        <w:spacing w:after="0" w:before="120"/>
        <w:jc w:val="center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555555"/>
          <w:sz w:val="36"/>
          <w:szCs w:val="36"/>
        </w:rPr>
        <w:t xml:space="preserve">产品需求文档 · PRD</w:t>
      </w:r>
    </w:p>
    <w:p>
      <w:pPr>
        <w:spacing w:after="0" w:before="1200"/>
        <w:jc w:val="center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sz w:val="26"/>
          <w:szCs w:val="26"/>
        </w:rPr>
        <w:t xml:space="preserve">版本 V1.0</w:t>
      </w:r>
    </w:p>
    <w:p>
      <w:pPr>
        <w:spacing w:after="0" w:before="100"/>
        <w:jc w:val="center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日期：2026-08-24　|　作者：Rhys</w:t>
      </w:r>
    </w:p>
    <w:p>
      <w:pPr>
        <w:spacing w:after="0" w:before="100"/>
        <w:jc w:val="center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需求类型：0→1　|　规模：L　|　依据：规则台账 v1.7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一、需求分析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1.1 用户分析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目标用户：平台已注册并完成登录的用户。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核心场景：用户需向平台内其他用户转移资产，典型如朋友间 AA、借还款、社群/团队打款等，且希望免手续费、实时到账、无需填写链上地址。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用户痛点：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走链上提现需选择网络、填写地址、支付网络手续费、等待区块确认；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链上地址一旦填错，资产不可逆丢失，操作门槛与风险较高。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产品价值：以「仅凭对方 UID、免费、实时」的方式完成站内资金流转，降低操作成本与出错风险，提升平台内资金流转效率与用户黏性，沉淀站内资金。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1.2 竞品分析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【待补充】——本次需求未开展竞品调研。后续如需，可补充主流交易所站内转账/支付类产品（如币安 Pay、OKX 内部转账等）的对比分析。</w:t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二、产品概述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2.1 产品逻辑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2.1.1 主流程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入口：用户在【资产】页点击【提现】，选择提现方式（链上提现 / 内部转账），选择【内部转账】进入本流程。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发起：选择币种 → 输入收款人 UID（系统实时前置校验该 UID 是否存在）→ 输入转账数量（前置校验可用余额）→ 填写留言（选填，最多 20 字）。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确认与验证：进入【确认并验证】页/弹窗，展示转账摘要（收款方 UID、免手续费、实际到账、实时到账·不可撤销），并完成安全验证。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执行：系统以强原子方式执行「付款方扣款 + 收款方入账」，两者同成同败。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结果与查询：展示转账结果（成功页含留言 / 失败页明确未扣款），用户可在转账记录中查看（仅成功记录），并进入收款人/付款人各自视角的详情页。</w:t>
      </w:r>
    </w:p>
    <w:p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主流程步骤概览：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环节</w:t>
            </w:r>
          </w:p>
        </w:tc>
        <w:tc>
          <w:tcPr>
            <w:tcW w:type="dxa" w:w="40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用户动作</w:t>
            </w:r>
          </w:p>
        </w:tc>
        <w:tc>
          <w:tcPr>
            <w:tcW w:type="dxa" w:w="396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系统行为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入口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资产页点「提现」→ 选「内部转账」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App 弹出方式选择弹窗；Web 以 Tab 区分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发起</w:t>
            </w:r>
          </w:p>
        </w:tc>
        <w:tc>
          <w:tcPr>
            <w:tcW w:type="dxa" w:w="4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输入收款人 UID / 数量 / 留言</w:t>
            </w:r>
          </w:p>
        </w:tc>
        <w:tc>
          <w:tcPr>
            <w:tcW w:type="dxa" w:w="39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实时校验 UID 是否存在、余额是否充足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确认验证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核对摘要 + 输入验证码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校验邮箱验证码（及 2FA）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执行</w:t>
            </w:r>
          </w:p>
        </w:tc>
        <w:tc>
          <w:tcPr>
            <w:tcW w:type="dxa" w:w="4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点击确认转账</w:t>
            </w:r>
          </w:p>
        </w:tc>
        <w:tc>
          <w:tcPr>
            <w:tcW w:type="dxa" w:w="39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强原子执行：扣款 + 入账，同成同败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结果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查看结果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成功即时到账 / 失败整体回滚未扣款</w:t>
            </w:r>
          </w:p>
        </w:tc>
      </w:tr>
    </w:tbl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2.1.2 订单状态机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前置拦截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（余额不足 / UID 不存在）：在发起页提交前阻断，不生成订单。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处理中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：原子事务执行中（实时，通常极短暂）。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成功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：扣款腿与入账腿均成功，资产实时到账。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失败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：系统异常/网络超时，整体回滚，用户未扣款。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说明：因账务强原子，系统不存在「已扣未入」中间态。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2.2 功能架构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C 端：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提现入口区分 / 内部转账发起 / 安全验证 / 转账结果 / 转账记录 / 收付双视角详情。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管理后台：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转账流水查询 / 状态监控（成功 · 处理中 · 失败），仅查询监控，无人工补账处置。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2.3 术语解释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术语</w:t>
            </w:r>
          </w:p>
        </w:tc>
        <w:tc>
          <w:tcPr>
            <w:tcW w:type="dxa" w:w="716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解释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站内转账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平台内用户之间的资金划转，不上链、实时到账、免手续费。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UID</w:t>
            </w:r>
          </w:p>
        </w:tc>
        <w:tc>
          <w:tcPr>
            <w:tcW w:type="dxa" w:w="71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平台用户唯一标识，内部转账收款人的唯一识别方式。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扣款腿 / 入账腿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一笔转账中「付款方扣款」与「收款方入账」两个动作。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强原子</w:t>
            </w:r>
          </w:p>
        </w:tc>
        <w:tc>
          <w:tcPr>
            <w:tcW w:type="dxa" w:w="71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扣款腿与入账腿同成同败，绝不出现「已扣未入」。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2FA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身份验证器（如 Google Authenticator）生成的动态验证码。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前置拦截</w:t>
            </w:r>
          </w:p>
        </w:tc>
        <w:tc>
          <w:tcPr>
            <w:tcW w:type="dxa" w:w="71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在发起页提交前即校验并阻断（如余额不足、UID 不存在），不生成订单。</w:t>
            </w:r>
          </w:p>
        </w:tc>
      </w:tr>
    </w:tbl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2.4 重要信息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项</w:t>
            </w:r>
          </w:p>
        </w:tc>
        <w:tc>
          <w:tcPr>
            <w:tcW w:type="dxa" w:w="636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结论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手续费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不收取，收款方到账金额 = 付款方转账数量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到账时效</w:t>
            </w:r>
          </w:p>
        </w:tc>
        <w:tc>
          <w:tcPr>
            <w:tcW w:type="dxa" w:w="63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实时到账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可否撤销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不可撤销，无撤销/退回功能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收款人识别</w:t>
            </w:r>
          </w:p>
        </w:tc>
        <w:tc>
          <w:tcPr>
            <w:tcW w:type="dxa" w:w="63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仅支持 UID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名称展示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全流程只显 UID，不展示昵称/实名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限额</w:t>
            </w:r>
          </w:p>
        </w:tc>
        <w:tc>
          <w:tcPr>
            <w:tcW w:type="dxa" w:w="63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不做限额（单笔/单日均不限）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KYC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不做 KYC 验证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风控拦截</w:t>
            </w:r>
          </w:p>
        </w:tc>
        <w:tc>
          <w:tcPr>
            <w:tcW w:type="dxa" w:w="63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当前版本不做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地区限制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不做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账务一致性</w:t>
            </w:r>
          </w:p>
        </w:tc>
        <w:tc>
          <w:tcPr>
            <w:tcW w:type="dxa" w:w="63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强原子（同成同败）</w:t>
            </w:r>
          </w:p>
        </w:tc>
      </w:tr>
    </w:tbl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2.5 上线节奏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一期：内部转账（本文档范围）。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链上提现：入口已与内部转账并列展示，其具体流程不在本次需求范围内。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2.6 多账号切换与账号安全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666666"/>
        </w:rPr>
        <w:t xml:space="preserve">切换列表与账号数据分属两层，须区分对待：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切换列表（账号身份，设备级通用）：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多账号切换列表为设备级、跨账号通用，记录本设备登录/添加过的账号用于快速切换。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保留策略：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账号退出登录后仍保留在切换列表（标记「需重新登录」），不因登出而移除——即 A 登出、B 登录后，列表仍展示 A。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切回鉴权：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切回任一账号必须重新完整登录（密码 + 2FA）后方可进入。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数据隔离：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转账记录、余额等数据严格按当前登录账号返回；账号登出即清除其本地数据缓存，切回前看不到该账号任何数据；服务端按登录态鉴权，不接受传任意 UID 查他人（防越权）。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安全底线：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禁止「切换列表显示某账号且可一键切回并直接看到其数据（不重新登录）」。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三、需求说明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3.1 功能列表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rPr>
          <w:tblHeader/>
        </w:trPr>
        <w:tc>
          <w:tcPr>
            <w:tcW w:type="dxa" w:w="26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功能</w:t>
            </w:r>
          </w:p>
        </w:tc>
        <w:tc>
          <w:tcPr>
            <w:tcW w:type="dxa" w:w="576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说明</w:t>
            </w:r>
          </w:p>
        </w:tc>
        <w:tc>
          <w:tcPr>
            <w:tcW w:type="dxa" w:w="10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优先级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提现入口区分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提现下分「链上提现 / 内部转账」；Web 以 Tab 区分，App 点提现弹窗二选一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内部转账发起</w:t>
            </w:r>
          </w:p>
        </w:tc>
        <w:tc>
          <w:tcPr>
            <w:tcW w:type="dxa" w:w="57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选币种 + 输入收款人 UID + 数量 + 留言</w:t>
            </w:r>
          </w:p>
        </w:tc>
        <w:tc>
          <w:tcPr>
            <w:tcW w:type="dxa" w:w="1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UID 前置校验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实时校验 UID 是否存在，不存在则拦截，仅返回是否有效、不返回名称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余额前置拦截</w:t>
            </w:r>
          </w:p>
        </w:tc>
        <w:tc>
          <w:tcPr>
            <w:tcW w:type="dxa" w:w="57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余额不足在发起页拦截（下一步置灰 + 行内提示），不生成订单</w:t>
            </w:r>
          </w:p>
        </w:tc>
        <w:tc>
          <w:tcPr>
            <w:tcW w:type="dxa" w:w="1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安全验证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已绑 2FA：邮箱验证码 + 2FA 双重；未绑 2FA：仅邮箱验证码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实时到账与结果</w:t>
            </w:r>
          </w:p>
        </w:tc>
        <w:tc>
          <w:tcPr>
            <w:tcW w:type="dxa" w:w="57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强原子执行，成功/失败结果页</w:t>
            </w:r>
          </w:p>
        </w:tc>
        <w:tc>
          <w:tcPr>
            <w:tcW w:type="dxa" w:w="1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转账记录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仅展示成功转账记录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收付双视角详情</w:t>
            </w:r>
          </w:p>
        </w:tc>
        <w:tc>
          <w:tcPr>
            <w:tcW w:type="dxa" w:w="57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转出（付款人视角）/ 转入（收款人视角）详情页</w:t>
            </w:r>
          </w:p>
        </w:tc>
        <w:tc>
          <w:tcPr>
            <w:tcW w:type="dxa" w:w="1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留言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收付双方可见，详情页 + 结果页展示，最多 20 字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P1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管理后台流水监控</w:t>
            </w:r>
          </w:p>
        </w:tc>
        <w:tc>
          <w:tcPr>
            <w:tcW w:type="dxa" w:w="57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流水查询 + 状态监控（仅查询，无人工补账）</w:t>
            </w:r>
          </w:p>
        </w:tc>
        <w:tc>
          <w:tcPr>
            <w:tcW w:type="dxa" w:w="10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P1</w:t>
            </w:r>
          </w:p>
        </w:tc>
      </w:tr>
    </w:tbl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3.2 页面交互流程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3.2.1 App 流程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资产页 →（点提现，底部弹窗二选一）→ 内部转账发起页 → 确认并验证页（摘要 + 安全验证合一）→ 结果页 → 转账记录 → 收/付详情页。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说明：App 已取消独立「确认转账」页，发起页「下一步」直达「确认并验证」页，减少一步操作。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3.2.2 Web 流程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提现页（左侧步骤条：① 选择币种 → ② 选择收款人；收款人处以 Tab 区分「链上提现 / 内部转账」）→ 内部转账表单 → 确认弹窗（摘要 + 验证合一）→ 结果页 → 转账记录（表格）→ 收/付详情页。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3.2.3 多端差异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维度</w:t>
            </w:r>
          </w:p>
        </w:tc>
        <w:tc>
          <w:tcPr>
            <w:tcW w:type="dxa" w:w="383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App</w:t>
            </w:r>
          </w:p>
        </w:tc>
        <w:tc>
          <w:tcPr>
            <w:tcW w:type="dxa" w:w="383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Web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提现方式选择</w:t>
            </w:r>
          </w:p>
        </w:tc>
        <w:tc>
          <w:tcPr>
            <w:tcW w:type="dxa" w:w="3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点提现弹出底部弹窗二选一</w:t>
            </w:r>
          </w:p>
        </w:tc>
        <w:tc>
          <w:tcPr>
            <w:tcW w:type="dxa" w:w="3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提现页内 Tab 区分</w:t>
            </w:r>
          </w:p>
        </w:tc>
      </w:tr>
      <w:tr>
        <w:tc>
          <w:tcPr>
            <w:tcW w:type="dxa" w:w="17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发起布局</w:t>
            </w:r>
          </w:p>
        </w:tc>
        <w:tc>
          <w:tcPr>
            <w:tcW w:type="dxa" w:w="383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分步单列，逐屏推进</w:t>
            </w:r>
          </w:p>
        </w:tc>
        <w:tc>
          <w:tcPr>
            <w:tcW w:type="dxa" w:w="383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步骤条 + 单列表单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确认与验证</w:t>
            </w:r>
          </w:p>
        </w:tc>
        <w:tc>
          <w:tcPr>
            <w:tcW w:type="dxa" w:w="3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独立「确认并验证」页（摘要 + 验证）</w:t>
            </w:r>
          </w:p>
        </w:tc>
        <w:tc>
          <w:tcPr>
            <w:tcW w:type="dxa" w:w="3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模态弹窗（摘要 + 验证合一）</w:t>
            </w:r>
          </w:p>
        </w:tc>
      </w:tr>
      <w:tr>
        <w:tc>
          <w:tcPr>
            <w:tcW w:type="dxa" w:w="17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记录呈现</w:t>
            </w:r>
          </w:p>
        </w:tc>
        <w:tc>
          <w:tcPr>
            <w:tcW w:type="dxa" w:w="383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列表卡片</w:t>
            </w:r>
          </w:p>
        </w:tc>
        <w:tc>
          <w:tcPr>
            <w:tcW w:type="dxa" w:w="383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表格（多列）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核心规则</w:t>
            </w:r>
          </w:p>
        </w:tc>
        <w:tc>
          <w:tcPr>
            <w:tcW w:type="dxa" w:w="3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两端完全一致</w:t>
            </w:r>
          </w:p>
        </w:tc>
        <w:tc>
          <w:tcPr>
            <w:tcW w:type="dxa" w:w="3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两端完全一致</w:t>
            </w:r>
          </w:p>
        </w:tc>
      </w:tr>
      <w:tr>
        <w:tc>
          <w:tcPr>
            <w:tcW w:type="dxa" w:w="17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H5</w:t>
            </w:r>
          </w:p>
        </w:tc>
        <w:tc>
          <w:tcPr>
            <w:tcW w:type="dxa" w:w="383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默认复用 App 交互（窄屏单列）</w:t>
            </w:r>
          </w:p>
        </w:tc>
        <w:tc>
          <w:tcPr>
            <w:tcW w:type="dxa" w:w="383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 原型及说明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666666"/>
        </w:rPr>
        <w:t xml:space="preserve">以下按 MECE 原则逐页拆解页面逻辑；原型截图由 PM 从原型文件截取后插入对应占位处。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3.3.1 资产页（App，提现入口）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【原型截图占位：资产页（App，提现入口）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顶部展示总资产估值；下方三个操作入口：充值 / 提现 / 划转。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点击【提现】触发提现方式选择弹窗（见下一页）。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币种列表展示各币种余额（USDT/BTC/ETH 等）。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3.3.2 提现方式选择（App 弹窗 / Web Tab）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【原型截图占位：提现方式选择（App 弹窗 / Web Tab）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App：底部弹窗，两个选项——「链上提现」（提到外部地址，需选网络、收网络费）、「内部转账」（转给站内用户，实时到账、免手续费）。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Web：提现页收款人区域以 Tab 区分「链上提现 / 内部转账」。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选择「内部转账」进入内部转账发起；「链上提现」流程不在本次范围。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3.3.3 内部转账发起页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【原型截图占位：内部转账发起页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币种：默认带入所选币种，可切换。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收款人 UID：输入后实时前置校验——有效则提示「✓ 该 UID 有效，可接收转账（仅校验存在，不展示对方名称）」；不存在则行内红字提示并置灰下一步。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转账数量：展示可用余额，标注「不限额、免手续费」；余额不足时行内红字提示并置灰下一步。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留言：选填，收付双方可见，最多 20 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底部提示：实时到账、不可撤销、免手续费。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3.3.4 确认并验证页（App）/ 确认弹窗（Web）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【原型截图占位：确认并验证页（App）/ 确认弹窗（Web）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摘要区：收款方（UID）、手续费（免手续费）、实际到账、到账时间（实时 · 不可撤销）。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安全验证区：邮箱验证码（含「获取验证码」与倒计时）；身份验证器（2FA）验证码。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条件展示：已绑 2FA 用户两项均需填写；未绑 2FA 用户不展示 2FA 输入框，仅需邮箱验证码，并提示建议前往安全设置绑定。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验证不区分金额（不分级）。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3.3.5 转账结果页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【原型截图占位：转账结果页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成功态：展示到账金额、收款方 UID、留言、到账时间、订单号；入口返回资产页/查看记录。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失败态：仅「系统异常 / 网络超时」，明确「未扣款，资金仍在你的账户」（因强原子整体回滚）。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余额不足、UID 不存在等已在发起页前置拦截，不进入结果失败态。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3.3.6 转账记录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【原型截图占位：转账记录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仅展示成功转账记录（失败不入列表）。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区分转出（-）/ 转入（+），展示对方 UID、时间、金额、状态。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点击某条进入对应视角详情页。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3.3.7 收款人 / 付款人详情页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【原型截图占位：收款人 / 付款人详情页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转出详情（付款人视角）：展示收款方 UID、手续费（免）、留言、创建时间、订单号。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转入详情（收款人视角）：展示付款方 UID、留言、到账时间、订单号（收款方不展示手续费）。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留言在收付双方详情页均展示。</w:t>
      </w:r>
    </w:p>
    <w:p>
      <w:pPr>
        <w:pStyle w:val="Heading3"/>
        <w:spacing w:after="100" w:before="16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3.3.8 管理后台（流水查询 + 监控）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120" w:before="120"/>
        <w:jc w:val="center"/>
      </w:pPr>
      <w:r>
        <w:rPr>
          <w:rFonts w:ascii="PingFang SC" w:cs="PingFang SC" w:eastAsia="PingFang SC" w:hAnsi="PingFang SC"/>
          <w:b w:val="false"/>
          <w:bCs w:val="false"/>
          <w:i/>
          <w:iCs/>
          <w:color w:val="888888"/>
        </w:rPr>
        <w:t xml:space="preserve">【原型截图占位：管理后台（流水查询 + 监控）　—　由 PM 从原型截取后插入】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顶部指标：今日转账 / 成功 / 处理中 / 失败（已回滚·未扣款）。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筛选：订单号、付款方 UID、收款方 UID、状态、日期。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流水表：订单号、付款方 UID、收款方 UID、币种、金额、状态、扣款/入账双腿、创建时间。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详情抽屉：双腿状态（扣款腿 / 入账腿）+ 账务一致性（强原子）+ 时间线；仅查询监控，无人工补账动作。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隐私：后台同样只显 UID，如需用户身份跳用户管理系统，操作留痕。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3.4 边界 Case 表格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场景</w:t>
            </w:r>
          </w:p>
        </w:tc>
        <w:tc>
          <w:tcPr>
            <w:tcW w:type="dxa" w:w="348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触发条件</w:t>
            </w:r>
          </w:p>
        </w:tc>
        <w:tc>
          <w:tcPr>
            <w:tcW w:type="dxa" w:w="328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系统行为 / 预期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余额不足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转账数量 &gt; 可用余额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发起页前置拦截，行内红字提示，下一步置灰，不生成订单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UID 不存在</w:t>
            </w:r>
          </w:p>
        </w:tc>
        <w:tc>
          <w:tcPr>
            <w:tcW w:type="dxa" w:w="34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输入的 UID 不存在</w:t>
            </w:r>
          </w:p>
        </w:tc>
        <w:tc>
          <w:tcPr>
            <w:tcW w:type="dxa" w:w="32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发起页前置拦截，行内红字提示，下一步置灰；后端提交时二次校验兜底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未绑定 2FA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收款人所属付款方账户未绑 2FA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不展示 2FA 输入框，仅需邮箱验证码，不强制绑定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邮箱验证码错误/过期</w:t>
            </w:r>
          </w:p>
        </w:tc>
        <w:tc>
          <w:tcPr>
            <w:tcW w:type="dxa" w:w="34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验证码不正确或超时</w:t>
            </w:r>
          </w:p>
        </w:tc>
        <w:tc>
          <w:tcPr>
            <w:tcW w:type="dxa" w:w="32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提示错误并要求重新输入/重新获取，转账不执行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2FA 验证码错误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已绑 2FA 用户 2FA 不正确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提示错误，转账不执行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系统异常/网络超时</w:t>
            </w:r>
          </w:p>
        </w:tc>
        <w:tc>
          <w:tcPr>
            <w:tcW w:type="dxa" w:w="34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提交后执行失败</w:t>
            </w:r>
          </w:p>
        </w:tc>
        <w:tc>
          <w:tcPr>
            <w:tcW w:type="dxa" w:w="32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整体回滚，未扣款，展示失败结果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留言超长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留言输入超过 20 字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限制输入不可超过 20 字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转账给自己</w:t>
            </w:r>
          </w:p>
        </w:tc>
        <w:tc>
          <w:tcPr>
            <w:tcW w:type="dxa" w:w="34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收款人 UID = 付款人自己</w:t>
            </w:r>
          </w:p>
        </w:tc>
        <w:tc>
          <w:tcPr>
            <w:tcW w:type="dxa" w:w="32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⚠️ 待确认：是否允许转给自己（建议拦截）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收款方账户异常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收款方账户被冻结/限制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⚠️ 待确认：当前版本不做风控，是否需拦截收款方异常账户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重复提交</w:t>
            </w:r>
          </w:p>
        </w:tc>
        <w:tc>
          <w:tcPr>
            <w:tcW w:type="dxa" w:w="34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用户短时间重复点击确认</w:t>
            </w:r>
          </w:p>
        </w:tc>
        <w:tc>
          <w:tcPr>
            <w:tcW w:type="dxa" w:w="32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需保证幂等，仅执行一笔（实现层保障）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账号切换 · 切换列表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同一设备退出 A、登录 B 后查看切换列表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切换列表设备级通用；A 登出后仍保留在列表并标「需重新登录」；切回 A 须重新完整登录（密码 + 2FA）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账号切换 · 数据隔离</w:t>
            </w:r>
          </w:p>
        </w:tc>
        <w:tc>
          <w:tcPr>
            <w:tcW w:type="dxa" w:w="34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切到/登录 B 后查看记录、余额</w:t>
            </w:r>
          </w:p>
        </w:tc>
        <w:tc>
          <w:tcPr>
            <w:tcW w:type="dxa" w:w="32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严格按当前登录账号返回，B 看不到 A 的任何记录/余额；A 登出即清其本地数据缓存；服务端按登录态鉴权防越权。安全底线：显示≠可访问，切回必重登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四、数据埋点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666666"/>
        </w:rPr>
        <w:t xml:space="preserve">以下穷举关键用户行为事件，上报参数以业务语言描述。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事件名</w:t>
            </w:r>
          </w:p>
        </w:tc>
        <w:tc>
          <w:tcPr>
            <w:tcW w:type="dxa" w:w="32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触发时机</w:t>
            </w:r>
          </w:p>
        </w:tc>
        <w:tc>
          <w:tcPr>
            <w:tcW w:type="dxa" w:w="356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上报参数（业务语言）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进入资产页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资产页曝光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用户 UID、进入时间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点击提现</w:t>
            </w:r>
          </w:p>
        </w:tc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资产页点击提现（弹窗曝光）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用户 UID、来源页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选择提现方式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在弹窗/Tab 选择方式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方式（链上/内部）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进入内部转账发起页</w:t>
            </w:r>
          </w:p>
        </w:tc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发起页曝光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币种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UID 校验结果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输入 UID 完成校验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校验结果（有效/不存在）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点击下一步</w:t>
            </w:r>
          </w:p>
        </w:tc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发起页点击下一步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币种、金额、是否带留言、拦截结果（通过/余额不足/UID不存在）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进入确认并验证页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确认并验证页/弹窗曝光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币种、金额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获取邮箱验证码</w:t>
            </w:r>
          </w:p>
        </w:tc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点击获取验证码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用户 UID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提交安全验证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点击确认转账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是否已绑 2FA、验证结果（成功/失败/失败原因）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转账结果</w:t>
            </w:r>
          </w:p>
        </w:tc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结果页曝光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结果（成功/失败）、失败原因（如系统异常）、金额、币种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查看转账记录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记录列表曝光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记录条数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查看转账详情</w:t>
            </w:r>
          </w:p>
        </w:tc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详情页曝光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视角（转出/转入）、订单号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五、API 相关调整</w:t>
      </w:r>
    </w:p>
    <w:p>
      <w:pPr>
        <w:spacing w:after="12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666666"/>
        </w:rPr>
        <w:t xml:space="preserve">本章为唯一涉及实现层的章节，说明本次需求涉及的接口变动方向（非完整接口定义）。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UID 存在性校验接口（新增）：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供发起页实时校验收款人 UID 是否存在，仅返回是否有效，不返回用户名称等敏感信息。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发起内部转账接口（新增）：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以强原子事务完成「付款方扣款 + 收款方入账」，保证同成同败；需支持幂等，防止重复提交产生多笔。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邮箱验证码发送 / 校验接口（新增或复用）：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发送邮箱验证码；提交时校验邮箱验证码，已绑 2FA 用户同时校验 2FA。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转账记录列表接口（新增）：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仅返回成功记录，区分转出/转入；按当前登录态鉴权，只返回登录账号自己的记录，不接受传任意 UID 查询他人记录（防横向越权）。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转账详情接口（新增）：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按视角返回转出（含收款方、免手续费、留言）/ 转入（含付款方、留言）详情；按登录态鉴权，校验订单归属当前账号。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账号隔离与登出清理：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转账相关数据严格绑定当前登录账号；退出登录时客户端须清除上一账号本地缓存（记录/余额/草稿等），避免账号切换后数据残留。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管理后台流水查询接口（新增）：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支持按订单号、付款方/收款方 UID、状态、时间查询全部状态流水；返回双腿状态用于监控。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账务一致性保障：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扣款与入账须在同一事务/分布式事务内，失败整体回滚，杜绝「已扣未入」。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rPr>
          <w:tblHeader/>
        </w:trPr>
        <w:tc>
          <w:tcPr>
            <w:tcW w:type="dxa" w:w="12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版本</w:t>
            </w:r>
          </w:p>
        </w:tc>
        <w:tc>
          <w:tcPr>
            <w:tcW w:type="dxa" w:w="16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日期</w:t>
            </w:r>
          </w:p>
        </w:tc>
        <w:tc>
          <w:tcPr>
            <w:tcW w:type="dxa" w:w="200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阶段</w:t>
            </w:r>
          </w:p>
        </w:tc>
        <w:tc>
          <w:tcPr>
            <w:tcW w:type="dxa" w:w="4560"/>
            <w:shd w:fill="2B39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i w:val="false"/>
                <w:iCs w:val="false"/>
                <w:color w:val="FFFFFF"/>
              </w:rPr>
              <w:t xml:space="preserve">变更摘要 / 原因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V1.0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2026-08-24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定稿（原型驱动）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i w:val="false"/>
                <w:iCs w:val="false"/>
              </w:rPr>
              <w:t xml:space="preserve">首版；依据规则台账 v1.7（R-01～R-20）经原型迭代收敛后产出</w:t>
            </w:r>
          </w:p>
        </w:tc>
      </w:tr>
    </w:tbl>
    <w:p>
      <w:pPr>
        <w:pStyle w:val="Heading1"/>
        <w:spacing w:after="160" w:before="24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PRD 自检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✅ AI 已确认（核查通过项）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资产平账：转账采用强原子（R-18），扣款/入账同成同败，无「已扣未入」，失败整体回滚未扣款。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内容口径一致：手续费/到账/不可撤销/仅 UID 等口径在发起、确认、结果、详情各页一致。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隐私：全流程只显 UID（R-14），UID 校验仅返回是否存在、不返回名称（R-15），降低身份反查风险。</w:t>
      </w:r>
    </w:p>
    <w:p>
      <w:pPr>
        <w:pStyle w:val="Heading2"/>
        <w:spacing w:after="120" w:before="20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⚠️ 待人工确认（需 PM / 合规 / 风控决策，AI 不得标为通过）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风控漏洞：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当前版本不做风控拦截（R-07），站内转账无异常账户/异常频率拦截，存在盗号后资金被快速转移的风险，需风控/合规评估是否可接受。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受限地区：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不做地区限制（R-08），需合规确认是否存在司法辖区要求。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KYC 门槛：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不做 KYC（R-05），需合规确认是否满足 AML 要求。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内容防污染：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留言收付双方可见，敏感词过滤 / 举报屏蔽机制尚未确定（台账 Q-02 遗留），需确认。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ingFang SC" w:cs="PingFang SC" w:eastAsia="PingFang SC" w:hAnsi="PingFang SC"/>
          <w:b/>
          <w:bCs/>
          <w:i w:val="false"/>
          <w:iCs w:val="false"/>
        </w:rPr>
        <w:t xml:space="preserve">边界待拍板：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</w:rPr>
        <w:t xml:space="preserve">「转账给自己」是否拦截、「收款方账户异常」是否处理（详见 3.4 边界 Case）。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ingFang SC" w:cs="PingFang SC" w:eastAsia="PingFang SC" w:hAnsi="PingFang S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PingFang SC" w:cs="PingFang SC" w:eastAsia="PingFang SC" w:hAnsi="PingFang SC"/>
      <w:b/>
      <w:bCs/>
      <w:color w:val="1F2A37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PingFang SC" w:cs="PingFang SC" w:eastAsia="PingFang SC" w:hAnsi="PingFang SC"/>
      <w:b/>
      <w:bCs/>
      <w:color w:val="3741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2026-08-25T08:01:20.231Z</dcterms:created>
  <dcterms:modified xsi:type="dcterms:W3CDTF">2026-08-25T08:01:20.237Z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