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sz w:val="56"/>
          <w:szCs w:val="56"/>
        </w:rPr>
        <w:t xml:space="preserve">站内转账（P2P）</w:t>
      </w:r>
    </w:p>
    <w:p>
      <w:pPr>
        <w:spacing w:after="0" w:before="120"/>
        <w:jc w:val="center"/>
      </w:pPr>
      <w:r>
        <w:rPr>
          <w:rFonts w:ascii="PingFang SC" w:cs="PingFang SC" w:eastAsia="PingFang SC" w:hAnsi="PingFang SC"/>
          <w:b/>
          <w:bCs/>
          <w:i w:val="false"/>
          <w:iCs w:val="false"/>
          <w:color w:val="555555"/>
          <w:sz w:val="36"/>
          <w:szCs w:val="36"/>
        </w:rPr>
        <w:t xml:space="preserve">产品需求文档 · PRD</w:t>
      </w:r>
    </w:p>
    <w:p>
      <w:pPr>
        <w:spacing w:after="0" w:before="12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sz w:val="26"/>
          <w:szCs w:val="26"/>
        </w:rPr>
        <w:t xml:space="preserve">版本 V1.0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日期：2026-08-24　|　作者：Rhys</w:t>
      </w:r>
    </w:p>
    <w:p>
      <w:pPr>
        <w:spacing w:after="0" w:before="100"/>
        <w:jc w:val="center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  <w:sz w:val="24"/>
          <w:szCs w:val="24"/>
        </w:rPr>
        <w:t xml:space="preserve">需求类型：0→1　|　规模：L　|　依据：规则台账 v1.7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一、需求分析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1.1 用户分析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目标用户：平台已注册并完成登录的用户。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核心场景：用户需向平台内其他用户转移资产，典型如朋友间 AA、借还款、社群/团队打款等，且希望免手续费、实时到账、无需填写链上地址。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用户痛点：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走链上提现需选择网络、填写地址、支付网络手续费、等待区块确认；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链上地址一旦填错，资产不可逆丢失，操作门槛与风险较高。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产品价值：以「仅凭对方 UID、免费、实时」的方式完成站内资金流转，降低操作成本与出错风险，提升平台内资金流转效率与用户黏性，沉淀站内资金。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1.2 竞品分析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【待补充】——本次需求未开展竞品调研。后续如需，可补充主流交易所站内转账/支付类产品（如币安 Pay、OKX 内部转账等）的对比分析。</w:t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二、产品概述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 产品逻辑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2.1.1 主流程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入口：用户在【资产】页点击【提现】，选择提现方式（链上提现 / 内部转账），选择【内部转账】进入本流程。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发起：选择币种 → 输入收款人 UID（系统实时前置校验该 UID 是否存在）→ 输入转账数量（前置校验可用余额）→ 填写留言（选填，最多 20 字）。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确认与验证：进入【确认并验证】页/弹窗，展示转账摘要（收款方 UID、免手续费、实际到账、实时到账·不可撤销），并完成安全验证。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执行：系统以强原子方式执行「付款方扣款 + 收款方入账」，两者同成同败。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结果与查询：展示转账结果（成功页含留言 / 失败页明确未扣款），用户可在转账记录中查看（仅成功记录），并进入收款人/付款人各自视角的详情页。</w:t>
      </w:r>
    </w:p>
    <w:p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/>
      </w:r>
    </w:p>
    <w:p>
      <w:pPr>
        <w:spacing w:after="12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主流程步骤概览：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960"/>
      </w:tblGrid>
      <w:tr>
        <w:trPr>
          <w:tblHeader/>
        </w:trPr>
        <w:tc>
          <w:tcPr>
            <w:tcW w:type="dxa" w:w="14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环节</w:t>
            </w:r>
          </w:p>
        </w:tc>
        <w:tc>
          <w:tcPr>
            <w:tcW w:type="dxa" w:w="4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用户动作</w:t>
            </w:r>
          </w:p>
        </w:tc>
        <w:tc>
          <w:tcPr>
            <w:tcW w:type="dxa" w:w="39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入口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资产页点「提现」→ 选「内部转账」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App 弹出方式选择弹窗；Web 以 Tab 区分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输入收款人 UID / 数量 / 留言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是否存在、余额是否充足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确认验证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核对摘要 + 输入验证码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校验邮箱验证码（及 2FA）</w:t>
            </w:r>
          </w:p>
        </w:tc>
      </w:tr>
      <w:tr>
        <w:tc>
          <w:tcPr>
            <w:tcW w:type="dxa" w:w="14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执行</w:t>
            </w:r>
          </w:p>
        </w:tc>
        <w:tc>
          <w:tcPr>
            <w:tcW w:type="dxa" w:w="4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9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强原子执行：扣款 + 入账，同成同败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</w:t>
            </w:r>
          </w:p>
        </w:tc>
        <w:tc>
          <w:tcPr>
            <w:tcW w:type="dxa" w:w="4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查看结果</w:t>
            </w:r>
          </w:p>
        </w:tc>
        <w:tc>
          <w:tcPr>
            <w:tcW w:type="dxa" w:w="39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成功即时到账 / 失败整体回滚未扣款</w:t>
            </w:r>
          </w:p>
        </w:tc>
      </w:tr>
    </w:tbl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2.1.2 订单状态机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前置拦截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（余额不足 / UID 不存在）：在发起页提交前阻断，不生成订单。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处理中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：原子事务执行中（实时，通常极短暂）。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成功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：扣款腿与入账腿均成功，资产实时到账。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失败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：系统异常/网络超时，整体回滚，用户未扣款。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说明：因账务强原子，系统不存在「已扣未入」中间态。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2.2 功能架构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C 端：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提现入口区分 / 内部转账发起 / 安全验证 / 转账结果 / 转账记录 / 收付双视角详情。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转账流水查询 / 状态监控（成功 · 处理中 · 失败），仅查询监控，无人工补账处置。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2.3 术语解释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术语</w:t>
            </w:r>
          </w:p>
        </w:tc>
        <w:tc>
          <w:tcPr>
            <w:tcW w:type="dxa" w:w="71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解释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站内转账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平台内用户之间的资金划转，不上链、实时到账、免手续费。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平台用户唯一标识，内部转账收款人的唯一识别方式。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 / 入账腿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一笔转账中「付款方扣款」与「收款方入账」两个动作。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扣款腿与入账腿同成同败，绝不出现「已扣未入」。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</w:t>
            </w:r>
          </w:p>
        </w:tc>
        <w:tc>
          <w:tcPr>
            <w:tcW w:type="dxa" w:w="71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身份验证器（如 Google Authenticator）生成的动态验证码。</w:t>
            </w:r>
          </w:p>
        </w:tc>
      </w:tr>
      <w:tr>
        <w:tc>
          <w:tcPr>
            <w:tcW w:type="dxa" w:w="2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前置拦截</w:t>
            </w:r>
          </w:p>
        </w:tc>
        <w:tc>
          <w:tcPr>
            <w:tcW w:type="dxa" w:w="71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在发起页提交前即校验并阻断（如余额不足、UID 不存在），不生成订单。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2.4 重要信息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项</w:t>
            </w:r>
          </w:p>
        </w:tc>
        <w:tc>
          <w:tcPr>
            <w:tcW w:type="dxa" w:w="63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结论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手续费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不收取，收款方到账金额 = 付款方转账数量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到账时效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可否撤销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不可撤销，无撤销/退回功能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收款人识别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仅支持 UID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名称展示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全流程只显 UID，不展示昵称/实名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限额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不做限额（单笔/单日均不限）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KYC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 KYC 验证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风控拦截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当前版本不做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地区限制</w:t>
            </w:r>
          </w:p>
        </w:tc>
        <w:tc>
          <w:tcPr>
            <w:tcW w:type="dxa" w:w="63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不做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账务一致性</w:t>
            </w:r>
          </w:p>
        </w:tc>
        <w:tc>
          <w:tcPr>
            <w:tcW w:type="dxa" w:w="63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强原子（同成同败）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2.5 上线节奏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一期：内部转账（本文档范围）。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链上提现：入口已与内部转账并列展示，其具体流程不在本次需求范围内。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三、需求说明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3.1 功能列表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760"/>
        <w:gridCol w:w="100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功能</w:t>
            </w:r>
          </w:p>
        </w:tc>
        <w:tc>
          <w:tcPr>
            <w:tcW w:type="dxa" w:w="57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说明</w:t>
            </w:r>
          </w:p>
        </w:tc>
        <w:tc>
          <w:tcPr>
            <w:tcW w:type="dxa" w:w="1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优先级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提现入口区分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提现下分「链上提现 / 内部转账」；Web 以 Tab 区分，App 点提现弹窗二选一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内部转账发起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选币种 + 输入收款人 UID + 数量 + 留言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前置校验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实时校验 UID 是否存在，不存在则拦截，仅返回是否有效、不返回名称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余额前置拦截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余额不足在发起页拦截（下一步置灰 + 行内提示），不生成订单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安全验证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2FA：邮箱验证码 + 2FA 双重；未绑 2FA：仅邮箱验证码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实时到账与结果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强原子执行，成功/失败结果页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转账记录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仅展示成功转账记录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收付双视角详情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转出（付款人视角）/ 转入（收款人视角）详情页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P0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</w:t>
            </w:r>
          </w:p>
        </w:tc>
        <w:tc>
          <w:tcPr>
            <w:tcW w:type="dxa" w:w="57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收付双方可见，详情页 + 结果页展示，最多 20 字</w:t>
            </w:r>
          </w:p>
        </w:tc>
        <w:tc>
          <w:tcPr>
            <w:tcW w:type="dxa" w:w="1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管理后台流水监控</w:t>
            </w:r>
          </w:p>
        </w:tc>
        <w:tc>
          <w:tcPr>
            <w:tcW w:type="dxa" w:w="57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流水查询 + 状态监控（仅查询，无人工补账）</w:t>
            </w:r>
          </w:p>
        </w:tc>
        <w:tc>
          <w:tcPr>
            <w:tcW w:type="dxa" w:w="10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 页面交互流程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3.2.1 App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资产页 →（点提现，底部弹窗二选一）→ 内部转账发起页 → 确认并验证页（摘要 + 安全验证合一）→ 结果页 → 转账记录 → 收/付详情页。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说明：App 已取消独立「确认转账」页，发起页「下一步」直达「确认并验证」页，减少一步操作。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3.2.2 Web 流程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提现页（左侧步骤条：① 选择币种 → ② 选择收款人；收款人处以 Tab 区分「链上提现 / 内部转账」）→ 内部转账表单 → 确认弹窗（摘要 + 验证合一）→ 结果页 → 转账记录（表格）→ 收/付详情页。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3.2.3 多端差异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830"/>
        <w:gridCol w:w="3830"/>
      </w:tblGrid>
      <w:tr>
        <w:trPr>
          <w:tblHeader/>
        </w:trPr>
        <w:tc>
          <w:tcPr>
            <w:tcW w:type="dxa" w:w="17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维度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App</w:t>
            </w:r>
          </w:p>
        </w:tc>
        <w:tc>
          <w:tcPr>
            <w:tcW w:type="dxa" w:w="383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Web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提现方式选择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点提现弹出底部弹窗二选一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提现页内 Tab 区分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发起布局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分步单列，逐屏推进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步骤条 + 单列表单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确认与验证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独立「确认并验证」页（摘要 + 验证）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模态弹窗（摘要 + 验证合一）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记录呈现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列表卡片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表格（多列）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核心规则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  <w:tc>
          <w:tcPr>
            <w:tcW w:type="dxa" w:w="383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两端完全一致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H5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默认复用 App 交互（窄屏单列）</w:t>
            </w:r>
          </w:p>
        </w:tc>
        <w:tc>
          <w:tcPr>
            <w:tcW w:type="dxa" w:w="383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 原型及说明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以下按 MECE 原则逐页拆解页面逻辑；原型截图由 PM 从原型文件截取后插入对应占位处。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3.3.1 资产页（App，提现入口）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【原型截图占位：资产页（App，提现入口）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顶部展示总资产估值；下方三个操作入口：充值 / 提现 / 划转。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点击【提现】触发提现方式选择弹窗（见下一页）。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币种列表展示各币种余额（USDT/BTC/ETH 等）。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3.3.2 提现方式选择（App 弹窗 / Web Tab）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【原型截图占位：提现方式选择（App 弹窗 / Web Tab）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App：底部弹窗，两个选项——「链上提现」（提到外部地址，需选网络、收网络费）、「内部转账」（转给站内用户，实时到账、免手续费）。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Web：提现页收款人区域以 Tab 区分「链上提现 / 内部转账」。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选择「内部转账」进入内部转账发起；「链上提现」流程不在本次范围。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3.3.3 内部转账发起页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【原型截图占位：内部转账发起页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币种：默认带入所选币种，可切换。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收款人 UID：输入后实时前置校验——有效则提示「✓ 该 UID 有效，可接收转账（仅校验存在，不展示对方名称）」；不存在则行内红字提示并置灰下一步。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转账数量：展示可用余额，标注「不限额、免手续费」；余额不足时行内红字提示并置灰下一步。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留言：选填，收付双方可见，最多 20 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底部提示：实时到账、不可撤销、免手续费。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3.3.4 确认并验证页（App）/ 确认弹窗（Web）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【原型截图占位：确认并验证页（App）/ 确认弹窗（Web）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摘要区：收款方（UID）、手续费（免手续费）、实际到账、到账时间（实时 · 不可撤销）。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安全验证区：邮箱验证码（含「获取验证码」与倒计时）；身份验证器（2FA）验证码。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条件展示：已绑 2FA 用户两项均需填写；未绑 2FA 用户不展示 2FA 输入框，仅需邮箱验证码，并提示建议前往安全设置绑定。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验证不区分金额（不分级）。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3.3.5 转账结果页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【原型截图占位：转账结果页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成功态：展示到账金额、收款方 UID、留言、到账时间、订单号；入口返回资产页/查看记录。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失败态：仅「系统异常 / 网络超时」，明确「未扣款，资金仍在你的账户」（因强原子整体回滚）。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余额不足、UID 不存在等已在发起页前置拦截，不进入结果失败态。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3.3.6 转账记录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【原型截图占位：转账记录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仅展示成功转账记录（失败不入列表）。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区分转出（-）/ 转入（+），展示对方 UID、时间、金额、状态。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点击某条进入对应视角详情页。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3.3.7 收款人 / 付款人详情页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【原型截图占位：收款人 / 付款人详情页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转出详情（付款人视角）：展示收款方 UID、手续费（免）、留言、创建时间、订单号。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转入详情（收款人视角）：展示付款方 UID、留言、到账时间、订单号（收款方不展示手续费）。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留言在收付双方详情页均展示。</w:t>
      </w:r>
    </w:p>
    <w:p>
      <w:pPr>
        <w:pStyle w:val="Heading3"/>
        <w:spacing w:after="100" w:before="16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3.3.8 管理后台（流水查询 + 监控）</w:t>
      </w:r>
    </w:p>
    <w:p>
      <w:pPr>
        <w:pBdr>
          <w:top w:val="dashed" w:color="999999" w:sz="6"/>
          <w:bottom w:val="dashed" w:color="999999" w:sz="6"/>
          <w:left w:val="dashed" w:color="999999" w:sz="6"/>
          <w:right w:val="dashed" w:color="999999" w:sz="6"/>
        </w:pBdr>
        <w:spacing w:after="120" w:before="120"/>
        <w:jc w:val="center"/>
      </w:pPr>
      <w:r>
        <w:rPr>
          <w:rFonts w:ascii="PingFang SC" w:cs="PingFang SC" w:eastAsia="PingFang SC" w:hAnsi="PingFang SC"/>
          <w:b w:val="false"/>
          <w:bCs w:val="false"/>
          <w:i/>
          <w:iCs/>
          <w:color w:val="888888"/>
        </w:rPr>
        <w:t xml:space="preserve">【原型截图占位：管理后台（流水查询 + 监控）　—　由 PM 从原型截取后插入】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顶部指标：今日转账 / 成功 / 处理中 / 失败（已回滚·未扣款）。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筛选：订单号、付款方 UID、收款方 UID、状态、日期。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流水表：订单号、付款方 UID、收款方 UID、币种、金额、状态、扣款/入账双腿、创建时间。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详情抽屉：双腿状态（扣款腿 / 入账腿）+ 账务一致性（强原子）+ 时间线；仅查询监控，无人工补账动作。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隐私：后台同样只显 UID，如需用户身份跳用户管理系统，操作留痕。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3.4 边界 Case 表格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80"/>
        <w:gridCol w:w="328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场景</w:t>
            </w:r>
          </w:p>
        </w:tc>
        <w:tc>
          <w:tcPr>
            <w:tcW w:type="dxa" w:w="34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触发条件</w:t>
            </w:r>
          </w:p>
        </w:tc>
        <w:tc>
          <w:tcPr>
            <w:tcW w:type="dxa" w:w="328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系统行为 / 预期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余额不足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转账数量 &gt; 可用余额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发起页前置拦截，行内红字提示，下一步置灰，不生成订单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不存在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输入的 UID 不存在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发起页前置拦截，行内红字提示，下一步置灰；后端提交时二次校验兜底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未绑定 2FA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收款人所属付款方账户未绑 2FA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不展示 2FA 输入框，仅需邮箱验证码，不强制绑定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邮箱验证码错误/过期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验证码不正确或超时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提示错误并要求重新输入/重新获取，转账不执行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2FA 验证码错误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已绑 2FA 用户 2FA 不正确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提示错误，转账不执行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系统异常/网络超时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提交后执行失败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整体回滚，未扣款，展示失败结果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留言超长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留言输入超过 20 字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限制输入不可超过 20 字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转账给自己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收款人 UID = 本人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发起页前置拦截，下一步置灰；行内提示「不能向自己转账，请输入对方 UID」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收款方账户异常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收款方账户被冻结/限制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⚠️ 待确认：当前版本不做风控，是否需拦截收款方异常账户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重复提交</w:t>
            </w:r>
          </w:p>
        </w:tc>
        <w:tc>
          <w:tcPr>
            <w:tcW w:type="dxa" w:w="34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用户短时间重复点击确认</w:t>
            </w:r>
          </w:p>
        </w:tc>
        <w:tc>
          <w:tcPr>
            <w:tcW w:type="dxa" w:w="328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需保证幂等，仅执行一笔（实现层保障）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越权查询</w:t>
            </w:r>
          </w:p>
        </w:tc>
        <w:tc>
          <w:tcPr>
            <w:tcW w:type="dxa" w:w="34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请求携带他人 UID 试图查询其记录</w:t>
            </w:r>
          </w:p>
        </w:tc>
        <w:tc>
          <w:tcPr>
            <w:tcW w:type="dxa" w:w="328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服务端按当前登录态鉴权，拒绝返回非本账号数据（防横向越权）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四、数据埋点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以下穷举关键用户行为事件，上报参数以业务语言描述。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事件名</w:t>
            </w:r>
          </w:p>
        </w:tc>
        <w:tc>
          <w:tcPr>
            <w:tcW w:type="dxa" w:w="3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触发时机</w:t>
            </w:r>
          </w:p>
        </w:tc>
        <w:tc>
          <w:tcPr>
            <w:tcW w:type="dxa" w:w="3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上报参数（业务语言）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进入资产页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UID、进入时间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点击提现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资产页点击提现（弹窗曝光）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UID、来源页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选择提现方式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在弹窗/Tab 选择方式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方式（链上/内部）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进入内部转账发起页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UID 校验结果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输入 UID 完成校验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校验结果（有效/不存在）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点击下一步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发起页点击下一步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币种、金额、是否带留言、拦截结果（通过/余额不足/UID不存在）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进入确认并验证页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确认并验证页/弹窗曝光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币种、金额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获取邮箱验证码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点击获取验证码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用户 UID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提交安全验证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点击确认转账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是否已绑 2FA、验证结果（成功/失败/失败原因）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转账结果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结果（成功/失败）、失败原因（如系统异常）、金额、币种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查看转账记录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记录列表曝光</w:t>
            </w:r>
          </w:p>
        </w:tc>
        <w:tc>
          <w:tcPr>
            <w:tcW w:type="dxa" w:w="3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记录条数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查看转账详情</w:t>
            </w:r>
          </w:p>
        </w:tc>
        <w:tc>
          <w:tcPr>
            <w:tcW w:type="dxa" w:w="320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详情页曝光</w:t>
            </w:r>
          </w:p>
        </w:tc>
        <w:tc>
          <w:tcPr>
            <w:tcW w:type="dxa" w:w="3560"/>
            <w:shd w:fill="F3F4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视角（转出/转入）、订单号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五、API 相关调整</w:t>
      </w:r>
    </w:p>
    <w:p>
      <w:pPr>
        <w:spacing w:after="12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  <w:color w:val="666666"/>
        </w:rPr>
        <w:t xml:space="preserve">本章为唯一涉及实现层的章节，说明本次需求涉及的接口变动方向（非完整接口定义）。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UID 存在性校验接口（新增）：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供发起页实时校验收款人 UID 是否存在，仅返回是否有效，不返回用户名称等敏感信息。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发起内部转账接口（新增）：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以强原子事务完成「付款方扣款 + 收款方入账」，保证同成同败；需支持幂等，防止重复提交产生多笔。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邮箱验证码发送 / 校验接口（新增或复用）：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发送邮箱验证码；提交时校验邮箱验证码，已绑 2FA 用户同时校验 2FA。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转账记录列表接口（新增）：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仅返回成功记录，区分转出/转入；按当前登录态鉴权，只返回登录账号自己的记录，不接受传任意 UID 查询他人记录（防横向越权）。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转账详情接口（新增）：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按视角返回转出（含收款方、免手续费、留言）/ 转入（含付款方、留言）详情；按登录态鉴权，校验订单归属当前账号。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管理后台流水查询接口（新增）：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支持按订单号、付款方/收款方 UID、状态、时间查询全部状态流水；返回双腿状态用于监控。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账务一致性保障：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扣款与入账须在同一事务/分布式事务内，失败整体回滚，杜绝「已扣未入」。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560"/>
      </w:tblGrid>
      <w:tr>
        <w:trPr>
          <w:tblHeader/>
        </w:trPr>
        <w:tc>
          <w:tcPr>
            <w:tcW w:type="dxa" w:w="12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版本</w:t>
            </w:r>
          </w:p>
        </w:tc>
        <w:tc>
          <w:tcPr>
            <w:tcW w:type="dxa" w:w="16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日期</w:t>
            </w:r>
          </w:p>
        </w:tc>
        <w:tc>
          <w:tcPr>
            <w:tcW w:type="dxa" w:w="200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阶段</w:t>
            </w:r>
          </w:p>
        </w:tc>
        <w:tc>
          <w:tcPr>
            <w:tcW w:type="dxa" w:w="4560"/>
            <w:shd w:fill="2B394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PingFang SC" w:cs="PingFang SC" w:eastAsia="PingFang SC" w:hAnsi="PingFang SC"/>
                <w:b/>
                <w:bCs/>
                <w:i w:val="false"/>
                <w:iCs w:val="false"/>
                <w:color w:val="FFFFFF"/>
              </w:rPr>
              <w:t xml:space="preserve">变更摘要 / 原因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V1.0</w:t>
            </w:r>
          </w:p>
        </w:tc>
        <w:tc>
          <w:tcPr>
            <w:tcW w:type="dxa" w:w="16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2026-08-24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定稿（原型驱动）</w:t>
            </w:r>
          </w:p>
        </w:tc>
        <w:tc>
          <w:tcPr>
            <w:tcW w:type="dxa" w:w="4560"/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PingFang SC" w:cs="PingFang SC" w:eastAsia="PingFang SC" w:hAnsi="PingFang SC"/>
                <w:b w:val="false"/>
                <w:bCs w:val="false"/>
                <w:i w:val="false"/>
                <w:iCs w:val="false"/>
              </w:rPr>
              <w:t xml:space="preserve">首版；依据规则台账 v1.7（R-01～R-20）经原型迭代收敛后产出</w:t>
            </w:r>
          </w:p>
        </w:tc>
      </w:tr>
    </w:tbl>
    <w:p>
      <w:pPr>
        <w:pStyle w:val="Heading1"/>
        <w:spacing w:after="160" w:before="24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PRD 自检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✅ AI 已确认（核查通过项）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资产平账：转账采用强原子（R-18），扣款/入账同成同败，无「已扣未入」，失败整体回滚未扣款。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内容口径一致：手续费/到账/不可撤销/仅 UID 等口径在发起、确认、结果、详情各页一致。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隐私：全流程只显 UID（R-14），UID 校验仅返回是否存在、不返回名称（R-15），降低身份反查风险。</w:t>
      </w:r>
    </w:p>
    <w:p>
      <w:pPr>
        <w:pStyle w:val="Heading2"/>
        <w:spacing w:after="120" w:before="20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⚠️ 待人工确认（需 PM / 合规 / 风控决策，AI 不得标为通过）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风控漏洞：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当前版本不做风控拦截（R-07），站内转账无异常账户/异常频率拦截，存在盗号后资金被快速转移的风险，需风控/合规评估是否可接受。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受限地区：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不做地区限制（R-08），需合规确认是否存在司法辖区要求。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KYC 门槛：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不做 KYC（R-05），需合规确认是否满足 AML 要求。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内容防污染：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留言收付双方可见，敏感词过滤 / 举报屏蔽机制尚未确定（台账 Q-02 遗留），需确认。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ingFang SC" w:cs="PingFang SC" w:eastAsia="PingFang SC" w:hAnsi="PingFang SC"/>
          <w:b/>
          <w:bCs/>
          <w:i w:val="false"/>
          <w:iCs w:val="false"/>
        </w:rPr>
        <w:t xml:space="preserve">边界待拍板：</w:t>
      </w:r>
      <w:r>
        <w:rPr>
          <w:rFonts w:ascii="PingFang SC" w:cs="PingFang SC" w:eastAsia="PingFang SC" w:hAnsi="PingFang SC"/>
          <w:b w:val="false"/>
          <w:bCs w:val="false"/>
          <w:i w:val="false"/>
          <w:iCs w:val="false"/>
        </w:rPr>
        <w:t xml:space="preserve">「收款方账户异常（冻结/限制）」是否处理（当前不做风控，详见 3.4 边界 Case）。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PingFang SC" w:cs="PingFang SC" w:eastAsia="PingFang SC" w:hAnsi="PingFang SC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PingFang SC" w:cs="PingFang SC" w:eastAsia="PingFang SC" w:hAnsi="PingFang SC"/>
      <w:b/>
      <w:bCs/>
      <w:color w:val="1F2A37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PingFang SC" w:cs="PingFang SC" w:eastAsia="PingFang SC" w:hAnsi="PingFang SC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2026-08-25T08:18:22.560Z</dcterms:created>
  <dcterms:modified xsi:type="dcterms:W3CDTF">2026-08-25T08:18:22.565Z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