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Research Project — Milestone 1</w:t>
      </w:r>
    </w:p>
    <w:p>
      <w:pPr>
        <w:spacing w:after="40"/>
        <w:jc w:val="center"/>
      </w:pPr>
      <w:r>
        <w:rPr>
          <w:b/>
          <w:bCs/>
          <w:sz w:val="24"/>
          <w:szCs w:val="24"/>
        </w:rPr>
        <w:t xml:space="preserve">Problem Identification &amp; Methodology</w:t>
      </w:r>
    </w:p>
    <w:p>
      <w:pPr>
        <w:spacing w:after="300"/>
        <w:jc w:val="center"/>
      </w:pPr>
      <w:r>
        <w:rPr>
          <w:i/>
          <w:iCs/>
          <w:sz w:val="22"/>
          <w:szCs w:val="22"/>
        </w:rPr>
        <w:t xml:space="preserve">An Empirical Evaluation of an LLM-Based Intrusion Detection Method for Industrial Control Systems using the MITRE ATT&amp;CK ICS Framework</w:t>
      </w:r>
    </w:p>
    <w:p>
      <w:pPr>
        <w:spacing w:after="300"/>
        <w:jc w:val="center"/>
      </w:pPr>
      <w:r>
        <w:rPr>
          <w:sz w:val="20"/>
          <w:szCs w:val="20"/>
        </w:rPr>
        <w:t xml:space="preserve">Subject: Intelligent Model Design using AI</w:t>
      </w:r>
    </w:p>
    <w:p>
      <w:pPr>
        <w:pStyle w:val="Heading1"/>
        <w:spacing w:after="150" w:before="300"/>
      </w:pPr>
      <w:r>
        <w:t xml:space="preserve">1. Base Research Paper</w:t>
      </w:r>
    </w:p>
    <w:p>
      <w:pPr>
        <w:spacing w:after="150"/>
      </w:pPr>
      <w:r>
        <w:t xml:space="preserve">Title: “A Preliminary Study on an Intrusion Detection Method using Large Language Models in Industrial Control Systems”</w:t>
      </w:r>
    </w:p>
    <w:p>
      <w:pPr>
        <w:spacing w:after="150"/>
      </w:pPr>
      <w:r>
        <w:t xml:space="preserve">Venue: 2024 Fifteenth International Conference on Ubiquitous and Future Networks (ICUFN)</w:t>
      </w:r>
    </w:p>
    <w:p>
      <w:pPr>
        <w:spacing w:after="200"/>
      </w:pPr>
      <w:r>
        <w:t xml:space="preserve">DOI: </w:t>
      </w:r>
      <w:hyperlink w:history="1" r:id="rIdrrkbojamgvs8g8idfczc4">
        <w:r>
          <w:rPr>
            <w:rStyle w:val="Hyperlink"/>
          </w:rPr>
          <w:t xml:space="preserve">10.1109/ICUFN61752.2024.10625633</w:t>
        </w:r>
      </w:hyperlink>
    </w:p>
    <w:p>
      <w:pPr>
        <w:pStyle w:val="Heading1"/>
        <w:spacing w:after="150" w:before="300"/>
      </w:pPr>
      <w:r>
        <w:t xml:space="preserve">2. Problem Identification</w:t>
      </w:r>
    </w:p>
    <w:p>
      <w:pPr>
        <w:spacing w:after="150"/>
      </w:pPr>
      <w:r>
        <w:t xml:space="preserve">Industrial Control Systems (ICS) run the physical processes behind power grids, water treatment, and manufacturing. They are high-value, high-consequence targets — Stuxnet, Industroyer, TRITON, and FrostyGoop all caused physical-world disruption or damage, not just data loss.</w:t>
      </w:r>
    </w:p>
    <w:p>
      <w:pPr>
        <w:spacing w:after="150"/>
      </w:pPr>
      <w:r>
        <w:t xml:space="preserve">Traditional ICS intrusion detection is signature-based: it needs a known attack pattern on file before it can flag it, so it fails against novel or zero-day ICS-specific attacks. Large Language Models (LLMs) are proposed as an alternative because their contextual understanding can, in principle, recognise threats they were never explicitly trained on.</w:t>
      </w:r>
    </w:p>
    <w:p>
      <w:pPr>
        <w:spacing w:after="150"/>
      </w:pPr>
      <w:r>
        <w:t xml:space="preserve">The base research paper proposes exactly this: gather MITRE ATT&amp;CK ICS data, structure it, and train an LLM for ICS intrusion detection. However, its Methods section stops at data preparation and training setup. Its own Results and Conclusion sections report no experimental findings, no accuracy figures, and no evidence that the proposed pipeline actually detects anything. The core idea in the literature is untested.</w:t>
      </w:r>
    </w:p>
    <w:p>
      <w:pPr>
        <w:pStyle w:val="Heading1"/>
        <w:spacing w:after="150" w:before="300"/>
      </w:pPr>
      <w:r>
        <w:t xml:space="preserve">3. Problem Statement</w:t>
      </w:r>
    </w:p>
    <w:p>
      <w:pPr>
        <w:spacing w:after="150"/>
      </w:pPr>
      <w:r>
        <w:t xml:space="preserve">The base paper proposes an LLM-based ICS intrusion detection method built on the MITRE ATT&amp;CK ICS framework but presents no empirical evaluation of detection performance. It is therefore unknown whether such an approach can classify real-world ICS intrusion events against ATT&amp;CK ICS techniques with usable accuracy, or reliably separate benign activity from malicious activity. This project implements and empirically evaluates that missing piece of the base paper's proposed pipeline.</w:t>
      </w:r>
    </w:p>
    <w:p>
      <w:pPr>
        <w:pStyle w:val="Heading1"/>
        <w:spacing w:after="150" w:before="300"/>
      </w:pPr>
      <w:r>
        <w:t xml:space="preserve">4. Proposed Methodology</w:t>
      </w:r>
    </w:p>
    <w:p>
      <w:pPr>
        <w:spacing w:after="150"/>
      </w:pPr>
      <w:r>
        <w:t xml:space="preserve">The pipeline is built entirely on real MITRE ATT&amp;CK ICS data — not synthetic examples — pulled directly from MITRE's official STIX 2.1 knowledge base:</w:t>
      </w:r>
    </w:p>
    <w:p>
      <w:pPr>
        <w:pStyle w:val="ListParagraph"/>
        <w:numPr>
          <w:ilvl w:val="0"/>
          <w:numId w:val="1"/>
        </w:numPr>
        <w:spacing w:after="80"/>
      </w:pPr>
      <w:r>
        <w:t xml:space="preserve">Reference set: 97 non-deprecated ICS attack techniques (name + official description) — the structured “ATT&amp;CK ICS matrix” the base paper refers to.</w:t>
      </w:r>
    </w:p>
    <w:p>
      <w:pPr>
        <w:pStyle w:val="ListParagraph"/>
        <w:numPr>
          <w:ilvl w:val="0"/>
          <w:numId w:val="1"/>
        </w:numPr>
        <w:spacing w:after="80"/>
      </w:pPr>
      <w:r>
        <w:t xml:space="preserve">Evaluation set: 271 real “procedure example” descriptions — documented accounts of how specific malware, intrusion sets, or campaigns actually used each technique — extracted from MITRE's own relationship data. These stand in for observed intrusion events that a detector has to classify.</w:t>
      </w:r>
    </w:p>
    <w:p>
      <w:pPr>
        <w:pStyle w:val="ListParagraph"/>
        <w:numPr>
          <w:ilvl w:val="0"/>
          <w:numId w:val="1"/>
        </w:numPr>
        <w:spacing w:after="80"/>
      </w:pPr>
      <w:r>
        <w:t xml:space="preserve">Both sets are embedded with a pretrained transformer language model.</w:t>
      </w:r>
    </w:p>
    <w:p>
      <w:pPr>
        <w:pStyle w:val="ListParagraph"/>
        <w:numPr>
          <w:ilvl w:val="0"/>
          <w:numId w:val="1"/>
        </w:numPr>
        <w:spacing w:after="80"/>
      </w:pPr>
      <w:r>
        <w:t xml:space="preserve">Each event is classified by cosine similarity to the nearest technique embedding — zero-shot, with no attack-specific training — which is the direct, testable form of the base paper's claim that LLMs generalise to threats they were not explicitly trained on.</w:t>
      </w:r>
    </w:p>
    <w:p>
      <w:pPr>
        <w:pStyle w:val="ListParagraph"/>
        <w:numPr>
          <w:ilvl w:val="0"/>
          <w:numId w:val="1"/>
        </w:numPr>
        <w:spacing w:after="80"/>
      </w:pPr>
      <w:r>
        <w:t xml:space="preserve">A similarity-threshold layer separates benign operational activity from attack activity, evaluated against a small set of normal ICS log descriptions.</w:t>
      </w:r>
    </w:p>
    <w:p>
      <w:pPr>
        <w:pStyle w:val="ListParagraph"/>
        <w:numPr>
          <w:ilvl w:val="0"/>
          <w:numId w:val="1"/>
        </w:numPr>
        <w:spacing w:after="80"/>
      </w:pPr>
      <w:r>
        <w:t xml:space="preserve">Output: Top-1 / Top-3 classification accuracy, macro-F1, per-technique breakdown, and a benign-vs-attack confusion matrix — the results the base paper never produced.</w:t>
      </w:r>
    </w:p>
    <w:p>
      <w:pPr>
        <w:spacing w:after="100" w:before="200"/>
      </w:pPr>
      <w:r>
        <w:rPr>
          <w:b/>
          <w:bCs/>
        </w:rPr>
        <w:t xml:space="preserve">Block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9000"/>
            <w:gridSpan w:val="2"/>
            <w:shd w:fill="EDEDED" w:val="clear"/>
            <w:tcMar>
              <w:top w:type="dxa" w:w="120"/>
              <w:left w:type="dxa" w:w="150"/>
              <w:bottom w:type="dxa" w:w="120"/>
              <w:right w:type="dxa" w:w="150"/>
            </w:tcMar>
          </w:tcPr>
          <w:p>
            <w:pPr>
              <w:jc w:val="center"/>
            </w:pPr>
            <w:r>
              <w:rPr>
                <w:b/>
                <w:bCs/>
              </w:rPr>
              <w:t xml:space="preserve">MITRE ATT&amp;CK ICS Knowledge Base (Official STIX 2.1 Data Source)</w:t>
            </w:r>
          </w:p>
        </w:tc>
      </w:tr>
      <w:tr>
        <w:tc>
          <w:tcPr>
            <w:tcW w:type="dxa" w:w="9000"/>
            <w:gridSpan w:val="2"/>
            <w:tcBorders>
              <w:top w:val="none"/>
              <w:left w:val="none"/>
              <w:bottom w:val="none"/>
              <w:right w:val="none"/>
            </w:tcBorders>
            <w:tcMar>
              <w:top w:type="dxa" w:w="40"/>
              <w:bottom w:type="dxa" w:w="40"/>
            </w:tcMar>
          </w:tcPr>
          <w:p>
            <w:pPr>
              <w:jc w:val="center"/>
            </w:pPr>
            <w:r>
              <w:rPr>
                <w:b/>
                <w:bCs/>
                <w:sz w:val="32"/>
                <w:szCs w:val="32"/>
              </w:rPr>
              <w:t xml:space="preserve">↓</w:t>
            </w:r>
          </w:p>
        </w:tc>
      </w:tr>
      <w:tr>
        <w:tc>
          <w:tcPr>
            <w:tcW w:type="dxa" w:w="4500"/>
            <w:shd w:fill="EDEDED" w:val="clear"/>
            <w:tcMar>
              <w:top w:type="dxa" w:w="120"/>
              <w:left w:type="dxa" w:w="150"/>
              <w:bottom w:type="dxa" w:w="120"/>
              <w:right w:type="dxa" w:w="150"/>
            </w:tcMar>
          </w:tcPr>
          <w:p>
            <w:pPr>
              <w:jc w:val="center"/>
            </w:pPr>
            <w:r>
              <w:rPr>
                <w:b/>
                <w:bCs/>
              </w:rPr>
              <w:t xml:space="preserve">Technique Reference Set
(97 techniques)</w:t>
            </w:r>
          </w:p>
        </w:tc>
        <w:tc>
          <w:tcPr>
            <w:tcW w:type="dxa" w:w="4500"/>
            <w:shd w:fill="EDEDED" w:val="clear"/>
            <w:tcMar>
              <w:top w:type="dxa" w:w="120"/>
              <w:left w:type="dxa" w:w="150"/>
              <w:bottom w:type="dxa" w:w="120"/>
              <w:right w:type="dxa" w:w="150"/>
            </w:tcMar>
          </w:tcPr>
          <w:p>
            <w:pPr>
              <w:jc w:val="center"/>
            </w:pPr>
            <w:r>
              <w:rPr>
                <w:b/>
                <w:bCs/>
              </w:rPr>
              <w:t xml:space="preserve">Real Procedure-Example Events
(271 samples)</w:t>
            </w:r>
          </w:p>
        </w:tc>
      </w:tr>
      <w:tr>
        <w:tc>
          <w:tcPr>
            <w:tcW w:type="dxa" w:w="9000"/>
            <w:gridSpan w:val="2"/>
            <w:tcBorders>
              <w:top w:val="none"/>
              <w:left w:val="none"/>
              <w:bottom w:val="none"/>
              <w:right w:val="none"/>
            </w:tcBorders>
            <w:tcMar>
              <w:top w:type="dxa" w:w="40"/>
              <w:bottom w:type="dxa" w:w="40"/>
            </w:tcMar>
          </w:tcPr>
          <w:p>
            <w:pPr>
              <w:jc w:val="center"/>
            </w:pPr>
            <w:r>
              <w:rPr>
                <w:b/>
                <w:bCs/>
                <w:sz w:val="32"/>
                <w:szCs w:val="32"/>
              </w:rPr>
              <w:t xml:space="preserve">↓</w:t>
            </w:r>
          </w:p>
        </w:tc>
      </w:tr>
      <w:tr>
        <w:tc>
          <w:tcPr>
            <w:tcW w:type="dxa" w:w="9000"/>
            <w:gridSpan w:val="2"/>
            <w:shd w:fill="EDEDED" w:val="clear"/>
            <w:tcMar>
              <w:top w:type="dxa" w:w="120"/>
              <w:left w:type="dxa" w:w="150"/>
              <w:bottom w:type="dxa" w:w="120"/>
              <w:right w:type="dxa" w:w="150"/>
            </w:tcMar>
          </w:tcPr>
          <w:p>
            <w:pPr>
              <w:jc w:val="center"/>
            </w:pPr>
            <w:r>
              <w:rPr>
                <w:b/>
                <w:bCs/>
              </w:rPr>
              <w:t xml:space="preserve">Pretrained Transformer Language Model — Embedding</w:t>
            </w:r>
          </w:p>
        </w:tc>
      </w:tr>
      <w:tr>
        <w:tc>
          <w:tcPr>
            <w:tcW w:type="dxa" w:w="9000"/>
            <w:gridSpan w:val="2"/>
            <w:tcBorders>
              <w:top w:val="none"/>
              <w:left w:val="none"/>
              <w:bottom w:val="none"/>
              <w:right w:val="none"/>
            </w:tcBorders>
            <w:tcMar>
              <w:top w:type="dxa" w:w="40"/>
              <w:bottom w:type="dxa" w:w="40"/>
            </w:tcMar>
          </w:tcPr>
          <w:p>
            <w:pPr>
              <w:jc w:val="center"/>
            </w:pPr>
            <w:r>
              <w:rPr>
                <w:b/>
                <w:bCs/>
                <w:sz w:val="32"/>
                <w:szCs w:val="32"/>
              </w:rPr>
              <w:t xml:space="preserve">↓</w:t>
            </w:r>
          </w:p>
        </w:tc>
      </w:tr>
      <w:tr>
        <w:tc>
          <w:tcPr>
            <w:tcW w:type="dxa" w:w="9000"/>
            <w:gridSpan w:val="2"/>
            <w:shd w:fill="EDEDED" w:val="clear"/>
            <w:tcMar>
              <w:top w:type="dxa" w:w="120"/>
              <w:left w:type="dxa" w:w="150"/>
              <w:bottom w:type="dxa" w:w="120"/>
              <w:right w:type="dxa" w:w="150"/>
            </w:tcMar>
          </w:tcPr>
          <w:p>
            <w:pPr>
              <w:jc w:val="center"/>
            </w:pPr>
            <w:r>
              <w:rPr>
                <w:b/>
                <w:bCs/>
              </w:rPr>
              <w:t xml:space="preserve">Cosine Similarity Matching (Zero-Shot Classification)</w:t>
            </w:r>
          </w:p>
        </w:tc>
      </w:tr>
      <w:tr>
        <w:tc>
          <w:tcPr>
            <w:tcW w:type="dxa" w:w="9000"/>
            <w:gridSpan w:val="2"/>
            <w:tcBorders>
              <w:top w:val="none"/>
              <w:left w:val="none"/>
              <w:bottom w:val="none"/>
              <w:right w:val="none"/>
            </w:tcBorders>
            <w:tcMar>
              <w:top w:type="dxa" w:w="40"/>
              <w:bottom w:type="dxa" w:w="40"/>
            </w:tcMar>
          </w:tcPr>
          <w:p>
            <w:pPr>
              <w:jc w:val="center"/>
            </w:pPr>
            <w:r>
              <w:rPr>
                <w:b/>
                <w:bCs/>
                <w:sz w:val="32"/>
                <w:szCs w:val="32"/>
              </w:rPr>
              <w:t xml:space="preserve">↓</w:t>
            </w:r>
          </w:p>
        </w:tc>
      </w:tr>
      <w:tr>
        <w:tc>
          <w:tcPr>
            <w:tcW w:type="dxa" w:w="4500"/>
            <w:shd w:fill="EDEDED" w:val="clear"/>
            <w:tcMar>
              <w:top w:type="dxa" w:w="120"/>
              <w:left w:type="dxa" w:w="150"/>
              <w:bottom w:type="dxa" w:w="120"/>
              <w:right w:type="dxa" w:w="150"/>
            </w:tcMar>
          </w:tcPr>
          <w:p>
            <w:pPr>
              <w:jc w:val="center"/>
            </w:pPr>
            <w:r>
              <w:rPr>
                <w:b/>
                <w:bCs/>
              </w:rPr>
              <w:t xml:space="preserve">Technique Classification
(Top-1 / Top-3, 97-way)</w:t>
            </w:r>
          </w:p>
        </w:tc>
        <w:tc>
          <w:tcPr>
            <w:tcW w:type="dxa" w:w="4500"/>
            <w:shd w:fill="EDEDED" w:val="clear"/>
            <w:tcMar>
              <w:top w:type="dxa" w:w="120"/>
              <w:left w:type="dxa" w:w="150"/>
              <w:bottom w:type="dxa" w:w="120"/>
              <w:right w:type="dxa" w:w="150"/>
            </w:tcMar>
          </w:tcPr>
          <w:p>
            <w:pPr>
              <w:jc w:val="center"/>
            </w:pPr>
            <w:r>
              <w:rPr>
                <w:b/>
                <w:bCs/>
              </w:rPr>
              <w:t xml:space="preserve">Benign vs. Attack Detection
(Similarity Threshold)</w:t>
            </w:r>
          </w:p>
        </w:tc>
      </w:tr>
      <w:tr>
        <w:tc>
          <w:tcPr>
            <w:tcW w:type="dxa" w:w="9000"/>
            <w:gridSpan w:val="2"/>
            <w:tcBorders>
              <w:top w:val="none"/>
              <w:left w:val="none"/>
              <w:bottom w:val="none"/>
              <w:right w:val="none"/>
            </w:tcBorders>
            <w:tcMar>
              <w:top w:type="dxa" w:w="40"/>
              <w:bottom w:type="dxa" w:w="40"/>
            </w:tcMar>
          </w:tcPr>
          <w:p>
            <w:pPr>
              <w:jc w:val="center"/>
            </w:pPr>
            <w:r>
              <w:rPr>
                <w:b/>
                <w:bCs/>
                <w:sz w:val="32"/>
                <w:szCs w:val="32"/>
              </w:rPr>
              <w:t xml:space="preserve">↓</w:t>
            </w:r>
          </w:p>
        </w:tc>
      </w:tr>
      <w:tr>
        <w:tc>
          <w:tcPr>
            <w:tcW w:type="dxa" w:w="9000"/>
            <w:gridSpan w:val="2"/>
            <w:shd w:fill="EDEDED" w:val="clear"/>
            <w:tcMar>
              <w:top w:type="dxa" w:w="120"/>
              <w:left w:type="dxa" w:w="150"/>
              <w:bottom w:type="dxa" w:w="120"/>
              <w:right w:type="dxa" w:w="150"/>
            </w:tcMar>
          </w:tcPr>
          <w:p>
            <w:pPr>
              <w:jc w:val="center"/>
            </w:pPr>
            <w:r>
              <w:rPr>
                <w:b/>
                <w:bCs/>
              </w:rPr>
              <w:t xml:space="preserve">Evaluation: Accuracy, Macro-F1, Confusion Matrix</w:t>
            </w:r>
          </w:p>
        </w:tc>
      </w:tr>
    </w:tbl>
    <w:p>
      <w:pPr>
        <w:spacing w:before="400"/>
      </w:pPr>
    </w:p>
    <w:p>
      <w:pPr>
        <w:pStyle w:val="Heading1"/>
        <w:spacing w:after="150" w:before="300"/>
      </w:pPr>
      <w:r>
        <w:t xml:space="preserve">5. Uniqueness / Novelty of the Proposed Project</w:t>
      </w:r>
    </w:p>
    <w:p>
      <w:pPr>
        <w:pStyle w:val="ListParagraph"/>
        <w:numPr>
          <w:ilvl w:val="0"/>
          <w:numId w:val="1"/>
        </w:numPr>
        <w:spacing w:after="80"/>
      </w:pPr>
      <w:r>
        <w:t xml:space="preserve">First empirical test of the base paper's own proposed pipeline — it describes a methodology but never validates it; this project closes that gap with measured numbers.</w:t>
      </w:r>
    </w:p>
    <w:p>
      <w:pPr>
        <w:pStyle w:val="ListParagraph"/>
        <w:numPr>
          <w:ilvl w:val="0"/>
          <w:numId w:val="1"/>
        </w:numPr>
        <w:spacing w:after="80"/>
      </w:pPr>
      <w:r>
        <w:t xml:space="preserve">Classifies to the specific ATT&amp;CK technique, giving an analyst an actionable label, instead of the binary anomaly flag that traditional signature-based ICS IDS produces.</w:t>
      </w:r>
    </w:p>
    <w:p>
      <w:pPr>
        <w:pStyle w:val="ListParagraph"/>
        <w:numPr>
          <w:ilvl w:val="0"/>
          <w:numId w:val="1"/>
        </w:numPr>
        <w:spacing w:after="80"/>
      </w:pPr>
      <w:r>
        <w:t xml:space="preserve">Zero-shot design: no technique-specific training data required, so the same pipeline extends to new techniques MITRE adds later with no retraining — this is a direct test of the generalisation claim, not just a repetition of it.</w:t>
      </w:r>
    </w:p>
    <w:p>
      <w:pPr>
        <w:pStyle w:val="Heading1"/>
        <w:spacing w:after="150" w:before="300"/>
      </w:pPr>
      <w:r>
        <w:t xml:space="preserve">6. Contribution to Research and Society</w:t>
      </w:r>
    </w:p>
    <w:p>
      <w:pPr>
        <w:pStyle w:val="ListParagraph"/>
        <w:numPr>
          <w:ilvl w:val="0"/>
          <w:numId w:val="1"/>
        </w:numPr>
        <w:spacing w:after="80"/>
      </w:pPr>
      <w:r>
        <w:t xml:space="preserve">Fills a genuine, verifiable gap in the published literature: the base paper has zero reported results.</w:t>
      </w:r>
    </w:p>
    <w:p>
      <w:pPr>
        <w:pStyle w:val="ListParagraph"/>
        <w:numPr>
          <w:ilvl w:val="0"/>
          <w:numId w:val="1"/>
        </w:numPr>
        <w:spacing w:after="80"/>
      </w:pPr>
      <w:r>
        <w:t xml:space="preserve">ICS attacks translate into physical consequences — blackouts, contaminated water, halted production, safety incidents — so a working low-cost detection layer has real-world stakes beyond a typical IT security tool.</w:t>
      </w:r>
    </w:p>
    <w:p>
      <w:pPr>
        <w:pStyle w:val="ListParagraph"/>
        <w:numPr>
          <w:ilvl w:val="0"/>
          <w:numId w:val="1"/>
        </w:numPr>
        <w:spacing w:after="80"/>
      </w:pPr>
      <w:r>
        <w:t xml:space="preserve">A zero-shot, low-maintenance approach lowers the barrier to entry for smaller or resource-constrained industrial operators who cannot run a dedicated Security Operations Centre or retrain models for every new attack technique.</w:t>
      </w:r>
    </w:p>
    <w:p>
      <w:pPr>
        <w:pStyle w:val="Heading1"/>
        <w:spacing w:after="150" w:before="300"/>
      </w:pPr>
      <w:r>
        <w:t xml:space="preserve">7. How This Differs from Existing Research</w:t>
      </w:r>
    </w:p>
    <w:p>
      <w:pPr>
        <w:spacing w:after="150"/>
      </w:pPr>
      <w:r>
        <w:t xml:space="preserve">Existing ICS IDS research is dominated by two families: signature-based systems, which cannot generalise past known attack patterns, and supervised machine-learning classifiers, which need large volumes of labelled attack traffic per technique to train — traffic that is scarce and expensive to obtain for ICS environments. This project differs from both: it requires no per-technique training data (zero-shot), it is grounded directly in the same MITRE ATT&amp;CK ICS taxonomy analysts already use operationally, and — unlike the base paper it extends — it reports actual measured detection performance rather than only a proposed training procedure.</w:t>
      </w:r>
    </w:p>
    <w:sectPr>
      <w:pgSz w:w="11906" w:h="16838" w:orient="portrait"/>
      <w:pgMar w:top="1440" w:right="1440" w:bottom="1440" w:left="1440" w:header="708" w:footer="708" w:gutter="0"/>
      <w:pgNumType/>
      <w:docGrid w:linePitch="360"/>
    </w:sectPr>
    <w:p>
      <w:pPr>
        <w:pStyle w:val="Heading1"/>
        <w:spacing w:after="150" w:before="300"/>
      </w:pPr>
      <w:r>
        <w:t xml:space="preserve">8. Implementation &amp; Results (Milestone 2)</w:t>
      </w:r>
    </w:p>
    <w:p>
      <w:pPr>
        <w:spacing w:after="150"/>
      </w:pPr>
      <w:r>
        <w:t xml:space="preserve">The methodology in Section 4 was implemented and run end-to-end. The pipeline pulls the official MITRE ATT&amp;CK ICS STIX 2.1 knowledge base directly (97 non-deprecated techniques, 271 real procedure-example descriptions of how documented malware, intrusion sets, and campaigns — including FrostyGoop, Bad Rabbit, Triton, INCONTROLLER, and OilRig — used each technique), embeds both sets with the pretrained transformer all-MiniLM-L6-v2, and classifies by cosine similarity with no attack-specific training. All numbers below are from an actual executed run, not estimates.</w:t>
      </w:r>
    </w:p>
    <w:p>
      <w:pPr>
        <w:pStyle w:val="Heading1"/>
        <w:spacing w:after="150" w:before="300"/>
      </w:pPr>
      <w:r>
        <w:t xml:space="preserve">8.1 Task A — Zero-shot technique classification (97 classes)</w:t>
      </w:r>
    </w:p>
    <w:p>
      <w:pPr>
        <w:pStyle w:val="ListParagraph"/>
        <w:numPr>
          <w:ilvl w:val="0"/>
          <w:numId w:val="1"/>
        </w:numPr>
        <w:spacing w:after="80"/>
      </w:pPr>
      <w:r>
        <w:t xml:space="preserve">Evaluation samples: 271 real procedure-example texts</w:t>
      </w:r>
    </w:p>
    <w:p>
      <w:pPr>
        <w:pStyle w:val="ListParagraph"/>
        <w:numPr>
          <w:ilvl w:val="0"/>
          <w:numId w:val="1"/>
        </w:numPr>
        <w:spacing w:after="80"/>
      </w:pPr>
      <w:r>
        <w:t xml:space="preserve">Top-1 accuracy: 0.321 (32.1%)</w:t>
      </w:r>
    </w:p>
    <w:p>
      <w:pPr>
        <w:pStyle w:val="ListParagraph"/>
        <w:numPr>
          <w:ilvl w:val="0"/>
          <w:numId w:val="1"/>
        </w:numPr>
        <w:spacing w:after="80"/>
      </w:pPr>
      <w:r>
        <w:t xml:space="preserve">Top-3 accuracy: 0.480 (48.0%)</w:t>
      </w:r>
    </w:p>
    <w:p>
      <w:pPr>
        <w:pStyle w:val="ListParagraph"/>
        <w:numPr>
          <w:ilvl w:val="0"/>
          <w:numId w:val="1"/>
        </w:numPr>
        <w:spacing w:after="80"/>
      </w:pPr>
      <w:r>
        <w:t xml:space="preserve">Macro F1 (top-1): 0.265</w:t>
      </w:r>
    </w:p>
    <w:p>
      <w:pPr>
        <w:spacing w:after="150"/>
      </w:pPr>
      <w:r>
        <w:t xml:space="preserve">Chance level on a 97-way classification task is approximately 1%, so 32.1% top-1 / 48.0% top-3 accuracy with zero attack-specific training is a meaningful signal rather than a solved problem. Confusions cluster around semantically related techniques — for example ‘Loss of View’ predicted as ‘Manipulate I/O Image’, or ‘Valid Accounts’ predicted as ‘Hardcoded Credentials’ — which is consistent with an embedding-similarity model picking up genuine semantic overlap between related ATT&amp;CK ICS techniques rather than failing randomly.</w:t>
      </w:r>
    </w:p>
    <w:p>
      <w:pPr>
        <w:pStyle w:val="Heading1"/>
        <w:spacing w:after="150" w:before="300"/>
      </w:pPr>
      <w:r>
        <w:t xml:space="preserve">8.2 Task B — Benign vs. attack detection</w:t>
      </w:r>
    </w:p>
    <w:p>
      <w:pPr>
        <w:pStyle w:val="ListParagraph"/>
        <w:numPr>
          <w:ilvl w:val="0"/>
          <w:numId w:val="1"/>
        </w:numPr>
        <w:spacing w:after="80"/>
      </w:pPr>
      <w:r>
        <w:t xml:space="preserve">Calibrated similarity threshold: 0.416</w:t>
      </w:r>
    </w:p>
    <w:p>
      <w:pPr>
        <w:pStyle w:val="ListParagraph"/>
        <w:numPr>
          <w:ilvl w:val="0"/>
          <w:numId w:val="1"/>
        </w:numPr>
        <w:spacing w:after="80"/>
      </w:pPr>
      <w:r>
        <w:t xml:space="preserve">Detection accuracy: 0.745 (74.5%)</w:t>
      </w:r>
    </w:p>
    <w:p>
      <w:pPr>
        <w:pStyle w:val="ListParagraph"/>
        <w:numPr>
          <w:ilvl w:val="0"/>
          <w:numId w:val="1"/>
        </w:numPr>
        <w:spacing w:after="80"/>
      </w:pPr>
      <w:r>
        <w:t xml:space="preserve">Attack recall: 203 / 271 correctly flagged as attack (74.9%)</w:t>
      </w:r>
    </w:p>
    <w:p>
      <w:pPr>
        <w:pStyle w:val="ListParagraph"/>
        <w:numPr>
          <w:ilvl w:val="0"/>
          <w:numId w:val="1"/>
        </w:numPr>
        <w:spacing w:after="80"/>
      </w:pPr>
      <w:r>
        <w:t xml:space="preserve">False positive rate: 5 / 15 benign samples misclassified as attack (33%)</w:t>
      </w:r>
    </w:p>
    <w:p>
      <w:pPr>
        <w:spacing w:after="150"/>
      </w:pPr>
      <w:r>
        <w:t xml:space="preserve">The false-positive rate is a known limitation of this milestone: the benign set is a small (15-example), author-written baseline of routine ICS operational log lines, not a large real-world benign traffic sample, so the false-positive rate should be treated as indicative rather than a production-grade estimate. This is flagged as a direction for the next milestone rather than presented as a finished result.</w:t>
      </w:r>
    </w:p>
    <w:p>
      <w:pPr>
        <w:pStyle w:val="Heading1"/>
        <w:spacing w:after="150" w:before="300"/>
      </w:pPr>
      <w:r>
        <w:t xml:space="preserve">8.3 Working Prototype</w:t>
      </w:r>
    </w:p>
    <w:p>
      <w:pPr>
        <w:spacing w:after="150"/>
      </w:pPr>
      <w:r>
        <w:t xml:space="preserve">Beyond the fixed evaluation set, a live prototype (demo.py) was built that classifies any typed ICS event description against the same 97-technique reference set and reports a BENIGN/ATTACK verdict with the top-3 closest ATT&amp;CK ICS techniques by cosine similarity. Example run:</w:t>
      </w:r>
    </w:p>
    <w:p>
      <w:pPr>
        <w:spacing w:after="80"/>
      </w:pPr>
      <w:r>
        <w:rPr>
          <w:rFonts w:ascii="Consolas" w:hAnsi="Consolas"/>
          <w:sz w:val="18"/>
        </w:rPr>
        <w:t xml:space="preserve">&gt; Unauthorized remote login to the engineering workstation from an</w:t>
      </w:r>
    </w:p>
    <w:p>
      <w:pPr>
        <w:spacing w:after="80"/>
      </w:pPr>
      <w:r>
        <w:rPr>
          <w:rFonts w:ascii="Consolas" w:hAnsi="Consolas"/>
          <w:sz w:val="18"/>
        </w:rPr>
        <w:t xml:space="preserve">  external IP followed by an unscheduled PLC firmware upload</w:t>
      </w:r>
    </w:p>
    <w:p>
      <w:pPr>
        <w:spacing w:after="80"/>
      </w:pPr>
      <w:r>
        <w:rPr>
          <w:rFonts w:ascii="Consolas" w:hAnsi="Consolas"/>
          <w:sz w:val="18"/>
        </w:rPr>
        <w:t xml:space="preserve"/>
      </w:r>
    </w:p>
    <w:p>
      <w:pPr>
        <w:spacing w:after="80"/>
      </w:pPr>
      <w:r>
        <w:rPr>
          <w:rFonts w:ascii="Consolas" w:hAnsi="Consolas"/>
          <w:sz w:val="18"/>
        </w:rPr>
        <w:t xml:space="preserve">Verdict: ATTACK  (max similarity 0.422)</w:t>
      </w:r>
    </w:p>
    <w:p>
      <w:pPr>
        <w:spacing w:after="80"/>
      </w:pPr>
      <w:r>
        <w:rPr>
          <w:rFonts w:ascii="Consolas" w:hAnsi="Consolas"/>
          <w:sz w:val="18"/>
        </w:rPr>
        <w:t xml:space="preserve">Top-3 ATT&amp;CK ICS technique matches:</w:t>
      </w:r>
    </w:p>
    <w:p>
      <w:pPr>
        <w:spacing w:after="80"/>
      </w:pPr>
      <w:r>
        <w:rPr>
          <w:rFonts w:ascii="Consolas" w:hAnsi="Consolas"/>
          <w:sz w:val="18"/>
        </w:rPr>
        <w:t xml:space="preserve">  0.422  External Remote Services</w:t>
      </w:r>
    </w:p>
    <w:p>
      <w:pPr>
        <w:spacing w:after="80"/>
      </w:pPr>
      <w:r>
        <w:rPr>
          <w:rFonts w:ascii="Consolas" w:hAnsi="Consolas"/>
          <w:sz w:val="18"/>
        </w:rPr>
        <w:t xml:space="preserve">  0.409  Remote Services</w:t>
      </w:r>
    </w:p>
    <w:p>
      <w:pPr>
        <w:spacing w:after="80"/>
      </w:pPr>
      <w:r>
        <w:rPr>
          <w:rFonts w:ascii="Consolas" w:hAnsi="Consolas"/>
          <w:sz w:val="18"/>
        </w:rPr>
        <w:t xml:space="preserve">  0.400  Siemens Project File Format</w:t>
      </w:r>
    </w:p>
    <w:p>
      <w:pPr>
        <w:pStyle w:val="Heading1"/>
        <w:spacing w:after="150" w:before="300"/>
      </w:pPr>
      <w:r>
        <w:t xml:space="preserve">8.4 Source Code</w:t>
      </w:r>
    </w:p>
    <w:p>
      <w:pPr>
        <w:spacing w:after="150"/>
      </w:pPr>
      <w:r>
        <w:t xml:space="preserve">Full source code, the real MITRE ATT&amp;CK ICS dataset used, and the raw results.json are published at: https://github.com/rhythm452/icsids-llm-attack-classifier</w:t>
      </w:r>
    </w:p>
    <w:p>
      <w:pPr>
        <w:pStyle w:val="Heading1"/>
        <w:spacing w:after="150" w:before="300"/>
      </w:pPr>
      <w:r>
        <w:t xml:space="preserve">8.5 Honesty Note on Reported Numbers</w:t>
      </w:r>
    </w:p>
    <w:p>
      <w:pPr>
        <w:spacing w:after="150"/>
      </w:pPr>
      <w:r>
        <w:t xml:space="preserve">An earlier draft of this project's planning notes referenced a synthetic-data pipeline (RandomForest classifier + TF-IDF RAG retrieval + local LLM explanation generation) with near-perfect (1.000) accuracy figures. That code was never actually implemented in this submission — the results in Sections 8.1–8.3 above are the only ones that were actually run, against real MITRE ATT&amp;CK ICS data, and are reported as-is, imperfections included.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rkbojamgvs8g8idfczc4" Type="http://schemas.openxmlformats.org/officeDocument/2006/relationships/hyperlink" Target="https://doi.org/10.1109/ICUFN61752.2024.1062563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2026-09-22T18:02:06.482Z</dcterms:created>
  <dcterms:modified xsi:type="dcterms:W3CDTF">2026-09-22T18:02:06.490Z</dcterms:modified>
</cp:coreProperties>
</file>

<file path=docProps/custom.xml><?xml version="1.0" encoding="utf-8"?>
<Properties xmlns="http://schemas.openxmlformats.org/officeDocument/2006/custom-properties" xmlns:vt="http://schemas.openxmlformats.org/officeDocument/2006/docPropsVTypes"/>
</file>