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t xml:space="preserve">Checklist de correcciones priorizado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Tesis «Proyecto PAC» — Hoja de ruta pre-defensa · Junio 2026</w:t>
      </w:r>
    </w:p>
    <w:p>
      <w:pPr>
        <w:spacing w:after="160"/>
      </w:pPr>
      <w:r>
        <w:rPr>
          <w:sz w:val="20"/>
          <w:szCs w:val="20"/>
        </w:rPr>
        <w:t xml:space="preserve">Lista de inconsistencias detectadas en las versiones resumidas de los capítulos, ordenadas por gravedad. Cada ítem indica ubicación exacta, el problema y la corrección sugerida. Prioridad: resolver primero las Críticas (afectan al ARI, contribución central) y las Importantes antes de la defensa.</w:t>
      </w:r>
    </w:p>
    <w:p>
      <w:pPr>
        <w:pStyle w:val="Heading2"/>
        <w:pBdr>
          <w:bottom w:val="single" w:color="C00000" w:sz="6" w:space="2"/>
        </w:pBdr>
        <w:spacing w:after="120" w:before="280"/>
      </w:pPr>
      <w:r>
        <w:rPr>
          <w:b/>
          <w:bCs/>
          <w:color w:val="C00000"/>
        </w:rPr>
        <w:t xml:space="preserve">Críticas — corregir sí o sí antes de la defensa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850"/>
        <w:gridCol w:w="3300"/>
        <w:gridCol w:w="359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 sugerida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C1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§3.3.3 (ec. 1–4) vs. Tabla 4.5 (Cap04); glosario «ARI»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Definición del ARI contradictoria: la fórmula canónica usa 2 componentes (0,6·hr_gain + 0,4·mov_gain), normalizados por drop_pct; la Tabla 4.5 lo presenta con 3 componentes (SpO₂/FC/MOV), pesos 50/30/20, normalizados por baseline.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Unificar a UNA sola definición (recomendado: 2 componentes 0,6/0,4 sobre drop_pct). Si se mantiene la Tabla 4.5, reescribirla explícitamente como «combinación naïve descartada», no como el ARI. Quitar SpO₂ como «componente de reactividad» (es el estímulo, no la respuesta).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C2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Tabla 4.5 (Cap04)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columna «Media (μ)» (0,491 / 0,526 / 0,511) es idéntica a los ARI por morfotipo C1/C2/C3 de la Tabla 4.6 → indicio de copy-paste / tabla no recomputada. El «peso efectivo 13,72» de MOV es anómalo.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Recomputar la tabla con los valores reales de cada componente. Verificar y explicar la magnitud 13,72. Confirmar que las cifras provienen del notebook y no de otra tabla.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C3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§5.6 y §9.3.2 vs. Tabla 6.5 (Cap06) y glosario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Contradicción de un orden de magnitud: §5.6/§9.3.2 afirman «diferencia máxima &lt; 0,03» entre fenotipos; la Tabla 6.5 da ARI 0,524 / 0,492 / 0,284 → diferencia real ≈ 0,24. Además contradice §5.3 (CHA ARI = 0,28).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Corregir «&lt; 0,03» → «&lt; 0,25». Reformular el argumento: el fenotipo CHA SÍ tiene ARI marcadamente más bajo (0,28), lo cual es coherente con el gradiente autonómico inverso. Revisar/atenuar la afirmación de «invariancia» del ARI entre fenotipos.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C4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Tabla 4.2 (Cap04)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Los conteos C1–C5 suman 84.193, pero el encabezado dice N = 85.277 (faltan 1.084). Los % de la tabla están calculados sobre 84.193, no sobre 85.277.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Recomputar conteos y porcentajes sobre el N correcto y declarado. Alinear el N de esta tabla con el universo de eventos usado para el clustering de curvas.</w:t>
            </w:r>
          </w:p>
        </w:tc>
      </w:tr>
    </w:tbl>
    <w:p>
      <w:pPr>
        <w:pStyle w:val="Heading2"/>
        <w:pBdr>
          <w:bottom w:val="single" w:color="BF8F00" w:sz="6" w:space="2"/>
        </w:pBdr>
        <w:spacing w:after="120" w:before="280"/>
      </w:pPr>
      <w:r>
        <w:rPr>
          <w:b/>
          <w:bCs/>
          <w:color w:val="BF8F00"/>
        </w:rPr>
        <w:t xml:space="preserve">Importantes — recomendable corregir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850"/>
        <w:gridCol w:w="3300"/>
        <w:gridCol w:w="359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 sugerida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I1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Cap01 §1.2 y Anexo A (en prep.) vs. Cap10 Tabla 10.2 y §10.3 (enviado mayo 2025); Cap03 §3.3.3 («publicada»)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Estado de la publicación T1 incoherente: aparece como «en preparación», «publicada en T1» y «Enviado (mayo 2025)». La fecha mayo 2025 es anterior a parte del trabajo descrito y a la versión de la tesis (jun-2026).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Definir un único estado para T1 (y T2–T4) y replicarlo en todos los capítulos y en el Anexo A. Verificar coherencia temporal de la fecha.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I2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Cap06 Fig.6.8/§6.8; Cap08 Tabla 8.1; Cap10 Tabla 10.1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AUC nocturno = 0,905 se cita como titular, pero se calcula sobre el pool de solo 4 de 8 pacientes (los otros 4 folds quedan indefinidos por ausencia de una clase). El número estrella descansa en media cohorte.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Acompañar el 0,905 con el caveat (n=4/8 folds evaluables) cada vez que aparece. Considerar reportar además una métrica robusta a folds degenerados (p. ej. AP media por fold o AUC macro).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I3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§4.2.2 (Cap04)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Claim central sin número: se afirma que C4+C5 concentran carga hipóxica «de forma desproporcionada» y «presumiblemente la fracción más crítica», pero nunca se da el % real de hypoxic burden.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Reportar el porcentaje real de carga hipóxica acumulada aportado por C4+C5 (vs. su 6,0% de prevalencia). Si no se dispone del dato, reformular como hipótesis explícita y quitar «presumiblemente».</w:t>
            </w:r>
          </w:p>
        </w:tc>
      </w:tr>
    </w:tbl>
    <w:p>
      <w:pPr>
        <w:pStyle w:val="Heading2"/>
        <w:pBdr>
          <w:bottom w:val="single" w:color="595959" w:sz="6" w:space="2"/>
        </w:pBdr>
        <w:spacing w:after="120" w:before="280"/>
      </w:pPr>
      <w:r>
        <w:rPr>
          <w:b/>
          <w:bCs/>
          <w:color w:val="595959"/>
        </w:rPr>
        <w:t xml:space="preserve">Menores — pulido editorial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850"/>
        <w:gridCol w:w="3300"/>
        <w:gridCol w:w="359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 sugerida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M1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Cap09 §9.6 y Cap10 §10.5 vs. Tabla 3.1 / Cap04 / Tabla 10.1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«553 noches de calidad» vs. «560 noches in_quality». 553 = noches con ≥1 EDO; 560 = noches in_quality. Inconsistencia incluso dentro de Cap10.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Distinguir y usar consistentemente ambos términos: «560 noches in_quality» y «553 noches con ≥1 EDO».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M2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Cap03 §3.5 / Cap05 §5.5 (26) vs. Cap10 Tabla 10.1 (21)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Número de features nocturnas multiescala: 26 vs. 21.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Verificar el conteo real y unificar (15 fracciones + 3 entropías + 3 transiciones + 5 contexto = 26).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M3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Cap06 §6.2/Fig.6.2 (4,70×) vs. Cap09 §9.4 y Cap10 (4,9×)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RR de evento severo del estado S6 difiere entre capítulos.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Unificar el valor (4,70× o 4,9×) según el cómputo correcto.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M4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Cap03 §3.4 / glosario (64,7%) vs. Tabla 4.2 (64,5%)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Prevalencia del morfotipo C1.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Unificar tras recomputar la Tabla 4.2 (ligado a C4).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M5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Cap04 §4.2.4 (texto) vs. Tabla 4.4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ICC de morfotipos: C3 0,419/0,403; C4 0,476/0,461; C5 0,505/0,510 (texto vs. tabla).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Hacer coincidir texto y tabla con el valor correcto.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M6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Cap04 §4.3.2 vs. Tabla 4.6 / §4.6 / glosario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ARI de C5: 0,422±0,105 vs. 0,423±0,104.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Unificar (probablemente 0,423±0,104).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M7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Cap06 Tabla 6.5 / glosario (511 noches)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N=511 del clustering de fenotipos nunca se explica frente a las 540 estrictas.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Agregar una frase que justifique el N=511 (p. ej. noches con vector multiescala completo).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M8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Cap10 §10.1 («Cap01 §1.6»); Cap07 §7.3 («Cap04 §4.3.3»)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Referencias cruzadas erradas: objetivos están en §1.2; gradiente inverso en §4.3.2.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Corregir ambas referencias cruzadas.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M9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Transversal (85.286 / 85.277 / 84.193 / 83.892 / 78.908 / 76.053)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Proliferación de universos de eventos; algunas diferencias se justifican, otras no (84.193).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Incluir una tabla única «universos de datos» que defina cada N y dónde se usa.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M10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Cap09 §9.1 y Anexo A (Sands 2021; Prabhakar 2016)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Sands et al. (2021) se cita por la descomposición en 4 rasgos, pero el título referenciado es sobre umbral de arousal (vol. zsx183 = 2018). Glosario cita «Prabhakar 2016» sin a/b.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Verificar la cita de Sands (año/volumen y que respalde el claim). Añadir a/b a Prabhakar en el glosario.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M11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Anexo B — entrada «PAC_v3»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Nota interna de desarrollo en el glosario: «la carpeta en disco se denomina PAC_v2/…».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Quitar la nota de desarrollo de la versión final de la tesis.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M12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Cap06 §6.9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mediana del Risk Score de Leve (31,6) se describe como «rango Bajo (&lt;30)», pero 31,6 &gt; 30 (cae en Moderado 30–60).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Ajustar la redacción (p. ej. «en el límite inferior, próxima al umbral de 30»).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M13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Cap05 §5.2–5.4 / Cap06 §6.x (líneas con ###)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Metáforas literarias («el poema completo», «la senda ya está trazada») formateadas como encabezados.</w:t>
            </w:r>
          </w:p>
        </w:tc>
        <w:tc>
          <w:tcPr>
            <w:tcW w:type="dxa" w:w="35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Pasarlas a texto normal y reducir a ≤1 por capítulo, o moverlas a las síntesis.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2E75B6"/>
        </w:rPr>
        <w:t xml:space="preserve">Verificación final sugerida</w:t>
      </w:r>
    </w:p>
    <w:p>
      <w:pPr>
        <w:spacing w:after="80"/>
      </w:pPr>
      <w:r>
        <w:rPr>
          <w:sz w:val="20"/>
          <w:szCs w:val="20"/>
        </w:rPr>
        <w:t xml:space="preserve">1) Recomputar las tablas del Cap04 (4.2, 4.4, 4.5, 4.6) desde los notebooks y pegar valores verificados. 2) Hacer una pasada de coherencia de «números de titular» (AUC 0,905/0,878/0,821; ICC; ρ; V de Cramér; RR; N de eventos y noches) confirmando que cada cifra es idéntica en todos los capítulos, tablas, glosario y Anexo. 3) Confirmar que no quedan contradicciones lógicas (invariancia del ARI; carga hipóxica desproporcionada con su % real).</w:t>
      </w:r>
    </w:p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Nota: evaluación basada en las versiones «resumido» entregadas. Las correcciones se expresan a nivel de sección/tabla; los valores «correctos» definitivos deben tomarse de los notebooks de origen (NB04–NB08).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Checklist de correcciones — Tesis Proyecto PAC · </w:t>
    </w:r>
    <w:r>
      <w:rPr>
        <w:color w:val="595959"/>
        <w:sz w:val="16"/>
        <w:szCs w:val="16"/>
      </w:rPr>
      <w:t xml:space="preserve">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2026-06-07T15:50:42.075Z</dcterms:created>
  <dcterms:modified xsi:type="dcterms:W3CDTF">2026-06-07T15:50:42.075Z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