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280"/>
          <w:sz w:val="20"/>
          <w:szCs w:val="20"/>
        </w:rPr>
        <w:t xml:space="preserve">DICTAMEN DE EVALUACIÓN ESTRICTA</w:t>
      </w:r>
    </w:p>
    <w:p>
      <w:pPr>
        <w:spacing w:after="120"/>
      </w:pPr>
      <w:r>
        <w:rPr>
          <w:b/>
          <w:bCs/>
          <w:color w:val="1E3A5F"/>
          <w:sz w:val="40"/>
          <w:szCs w:val="40"/>
        </w:rPr>
        <w:t xml:space="preserve">Tesis de Maestría — Proyecto PAC</w:t>
      </w:r>
    </w:p>
    <w:p>
      <w:pPr>
        <w:spacing w:after="200"/>
      </w:pPr>
      <w:r>
        <w:rPr>
          <w:i/>
          <w:iCs/>
          <w:color w:val="6B7280"/>
          <w:sz w:val="22"/>
          <w:szCs w:val="22"/>
        </w:rPr>
        <w:t xml:space="preserve">Caracterización fenotípica y dinámica del síndrome de apneas obstructivas del sueño mediante oximetría domiciliaria portátil</w:t>
      </w:r>
    </w:p>
    <w:p>
      <w:pPr>
        <w:pBdr>
          <w:bottom w:val="single" w:color="1E3A5F" w:sz="8" w:space="4"/>
        </w:pBdr>
        <w:spacing w:after="160"/>
      </w:pPr>
    </w:p>
    <w:p>
      <w:pPr>
        <w:spacing w:after="120" w:line="312"/>
      </w:pPr>
      <w:r>
        <w:rPr>
          <w:b/>
          <w:bCs/>
          <w:sz w:val="21"/>
          <w:szCs w:val="21"/>
        </w:rPr>
        <w:t xml:space="preserve">Autor de la tesis: </w:t>
      </w:r>
      <w:r>
        <w:rPr>
          <w:sz w:val="21"/>
          <w:szCs w:val="21"/>
        </w:rPr>
        <w:t xml:space="preserve">Roberto Inza   ·   </w:t>
      </w:r>
      <w:r>
        <w:rPr>
          <w:b/>
          <w:bCs/>
          <w:sz w:val="21"/>
          <w:szCs w:val="21"/>
        </w:rPr>
        <w:t xml:space="preserve">Verificación: </w:t>
      </w:r>
      <w:r>
        <w:rPr>
          <w:sz w:val="21"/>
          <w:szCs w:val="21"/>
        </w:rPr>
        <w:t xml:space="preserve">independiente contra Gold (gold/*.parquet) y notebooks NB01–NB08</w:t>
      </w:r>
    </w:p>
    <w:p>
      <w:pPr>
        <w:spacing w:after="120" w:line="312"/>
      </w:pPr>
      <w:r>
        <w:rPr>
          <w:b/>
          <w:bCs/>
          <w:sz w:val="21"/>
          <w:szCs w:val="21"/>
        </w:rPr>
        <w:t xml:space="preserve">Alcance: </w:t>
      </w:r>
      <w:r>
        <w:rPr>
          <w:sz w:val="21"/>
          <w:szCs w:val="21"/>
        </w:rPr>
        <w:t xml:space="preserve">13 documentos (Cap01–Cap10 + Anexos A, B y Suplementario), versiones finales del manifiesto §20.</w:t>
      </w:r>
    </w:p>
    <w:p>
      <w:pPr>
        <w:pBdr>
          <w:top w:val="single" w:color="1E3A5F" w:sz="18" w:space="8"/>
          <w:bottom w:val="single" w:color="1E3A5F" w:sz="18" w:space="8"/>
        </w:pBdr>
        <w:shd w:fill="EAF1F8" w:val="clear"/>
        <w:spacing w:after="120" w:before="200"/>
      </w:pPr>
      <w:r>
        <w:rPr>
          <w:b/>
          <w:bCs/>
          <w:color w:val="1E3A5F"/>
          <w:sz w:val="32"/>
          <w:szCs w:val="32"/>
        </w:rPr>
        <w:t xml:space="preserve">CALIFICACIÓN FINAL:  9,0 / 10</w:t>
      </w:r>
      <w:r>
        <w:rPr>
          <w:color w:val="6B7280"/>
          <w:sz w:val="22"/>
          <w:szCs w:val="22"/>
        </w:rPr>
        <w:br/>
        <w:t xml:space="preserve">   —  Aprobada con distinción; lista para defensa</w:t>
      </w:r>
    </w:p>
    <w:p>
      <w:pPr>
        <w:pStyle w:val="Heading1"/>
        <w:spacing w:after="140" w:before="280"/>
      </w:pPr>
      <w:r>
        <w:rPr>
          <w:b/>
          <w:bCs/>
          <w:color w:val="1E3A5F"/>
          <w:sz w:val="26"/>
          <w:szCs w:val="26"/>
        </w:rPr>
        <w:t xml:space="preserve">1. Resumen ejecutivo</w:t>
      </w:r>
    </w:p>
    <w:p>
      <w:pPr>
        <w:spacing w:after="120" w:line="312"/>
      </w:pPr>
      <w:r>
        <w:rPr>
          <w:sz w:val="21"/>
          <w:szCs w:val="21"/>
        </w:rPr>
        <w:t xml:space="preserve">La verificación se realizó de forma independiente: se recomputaron las cifras de titular directamente desde el Gold (gold/*.parquet) y los notebooks NB01–NB08, sin asumir como verdad ni el CLAUDE.md ni el texto previo. El resultado es contundente: prácticamente todas las cifras declaradas reproducen contra el Gold con coincidencia exacta o dentro del redondeo —morfotipos C1–C5, universos de eventos (85.286 → 85.277 → 83.892 → 80.345), carga hipóxica de C4+C5 (23,8%), riesgos relativos (S6 4,9×; M1 3,3×; L0 2,0×), V de Cramér (0,356/0,231/0,196), PCA PC1 (36,7%), especialización funcional, ICC del ARI (0,69) y todas las AUC prospectivas (0,821 para H=5 min, con su curva 0,838→0,763 y prevalencias 3,74%→18,89%).</w:t>
      </w:r>
    </w:p>
    <w:p>
      <w:pPr>
        <w:spacing w:after="120" w:line="312"/>
      </w:pPr>
      <w:r>
        <w:rPr>
          <w:sz w:val="21"/>
          <w:szCs w:val="21"/>
        </w:rPr>
        <w:t xml:space="preserve">El checklist de correcciones está sustancialmente cerrado: las cuatro Críticas (C1–C4) y las tres Importantes (I1–I3) quedaron resueltas, y 12 de las 13 Menores también. Se detectaron dos discrepancias materiales contra el Gold y un puñado de cuestiones menores, detalladas en la §4. Ninguna invalida las conclusiones de la tesis, pero una de ellas afecta a una cifra de titular (la ortogonalidad ARI–ODI3) y debería corregirse antes de la defensa.</w:t>
      </w:r>
    </w:p>
    <w:p>
      <w:pPr>
        <w:pStyle w:val="Heading1"/>
        <w:spacing w:after="140" w:before="280"/>
      </w:pPr>
      <w:r>
        <w:rPr>
          <w:b/>
          <w:bCs/>
          <w:color w:val="1E3A5F"/>
          <w:sz w:val="26"/>
          <w:szCs w:val="26"/>
        </w:rPr>
        <w:t xml:space="preserve">2. Metodología de la evaluación</w:t>
      </w:r>
    </w:p>
    <w:p>
      <w:pPr>
        <w:spacing w:after="120" w:line="312"/>
      </w:pPr>
      <w:r>
        <w:rPr>
          <w:sz w:val="21"/>
          <w:szCs w:val="21"/>
        </w:rPr>
        <w:t xml:space="preserve">Se montó la carpeta de proyecto ~/Proyectos/PAC_v2 y se cargaron las tablas Gold con pyarrow. El ARI por evento se reconstruyó desde la fórmula canónica publicada (0,6·P(hr_gain)+0,4·P(mov_gain) sobre drop_pct, percentil sobre el corpus): esa reconstrucción reprodujo de forma independiente la media de C5 (0,422), la ortogonalidad respecto a drop_pct (0,034) y el ICC (0,688), lo que valida que el ARI computado coincide con el de la tesis y habilita a tratar como hallazgos las cifras que no reproducen. Cada cifra de los 13 documentos se cotejó contra ese cómputo y contra las demás apariciones en otros capítulos. Toda divergencia se registró como hallazgo, con su severidad.</w:t>
      </w:r>
    </w:p>
    <w:p>
      <w:pPr>
        <w:pStyle w:val="Heading1"/>
        <w:spacing w:after="140" w:before="280"/>
      </w:pPr>
      <w:r>
        <w:rPr>
          <w:b/>
          <w:bCs/>
          <w:color w:val="1E3A5F"/>
          <w:sz w:val="26"/>
          <w:szCs w:val="26"/>
        </w:rPr>
        <w:t xml:space="preserve">3. Verificación de cifras canónicas contra el Gold</w:t>
      </w:r>
    </w:p>
    <w:p>
      <w:pPr>
        <w:spacing w:after="120" w:line="312"/>
      </w:pPr>
      <w:r>
        <w:rPr>
          <w:i/>
          <w:iCs/>
          <w:color w:val="6B7280"/>
          <w:sz w:val="19"/>
          <w:szCs w:val="19"/>
        </w:rPr>
        <w:t xml:space="preserve">Columna «Declarado»: valor en la tesis. Columna «Gold (recomputado)»: valor obtenido de forma independiente. Estado ✔ = coincide; ≈ = diferencia menor; ✘ = discrepancia material.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50"/>
        <w:gridCol w:w="2150"/>
        <w:gridCol w:w="2150"/>
        <w:gridCol w:w="1176"/>
      </w:tblGrid>
      <w:tr>
        <w:trPr>
          <w:tblHeader/>
        </w:trPr>
        <w:tc>
          <w:tcPr>
            <w:tcW w:type="dxa" w:w="3550"/>
            <w:tcBorders>
              <w:top w:val="single" w:color="C9D2DE" w:sz="1"/>
              <w:left w:val="single" w:color="C9D2DE" w:sz="1"/>
              <w:bottom w:val="single" w:color="C9D2DE" w:sz="1"/>
              <w:right w:val="single" w:color="C9D2DE" w:sz="1"/>
            </w:tcBorders>
            <w:shd w:fill="1E3A5F" w:val="clear"/>
            <w:tcMar>
              <w:top w:type="dxa" w:w="60"/>
              <w:left w:type="dxa" w:w="100"/>
              <w:bottom w:type="dxa" w:w="60"/>
              <w:right w:type="dxa" w:w="100"/>
            </w:tcMar>
          </w:tcPr>
          <w:p>
            <w:pPr>
              <w:spacing w:line="264"/>
            </w:pPr>
            <w:r>
              <w:rPr>
                <w:b/>
                <w:bCs/>
                <w:color w:val="FFFFFF"/>
                <w:sz w:val="19"/>
                <w:szCs w:val="19"/>
              </w:rPr>
              <w:t xml:space="preserve">Cifra</w:t>
            </w:r>
          </w:p>
        </w:tc>
        <w:tc>
          <w:tcPr>
            <w:tcW w:type="dxa" w:w="2150"/>
            <w:tcBorders>
              <w:top w:val="single" w:color="C9D2DE" w:sz="1"/>
              <w:left w:val="single" w:color="C9D2DE" w:sz="1"/>
              <w:bottom w:val="single" w:color="C9D2DE" w:sz="1"/>
              <w:right w:val="single" w:color="C9D2DE" w:sz="1"/>
            </w:tcBorders>
            <w:shd w:fill="1E3A5F" w:val="clear"/>
            <w:tcMar>
              <w:top w:type="dxa" w:w="60"/>
              <w:left w:type="dxa" w:w="100"/>
              <w:bottom w:type="dxa" w:w="60"/>
              <w:right w:type="dxa" w:w="100"/>
            </w:tcMar>
          </w:tcPr>
          <w:p>
            <w:pPr>
              <w:spacing w:line="264"/>
            </w:pPr>
            <w:r>
              <w:rPr>
                <w:b/>
                <w:bCs/>
                <w:color w:val="FFFFFF"/>
                <w:sz w:val="19"/>
                <w:szCs w:val="19"/>
              </w:rPr>
              <w:t xml:space="preserve">Declarado</w:t>
            </w:r>
          </w:p>
        </w:tc>
        <w:tc>
          <w:tcPr>
            <w:tcW w:type="dxa" w:w="2150"/>
            <w:tcBorders>
              <w:top w:val="single" w:color="C9D2DE" w:sz="1"/>
              <w:left w:val="single" w:color="C9D2DE" w:sz="1"/>
              <w:bottom w:val="single" w:color="C9D2DE" w:sz="1"/>
              <w:right w:val="single" w:color="C9D2DE" w:sz="1"/>
            </w:tcBorders>
            <w:shd w:fill="1E3A5F" w:val="clear"/>
            <w:tcMar>
              <w:top w:type="dxa" w:w="60"/>
              <w:left w:type="dxa" w:w="100"/>
              <w:bottom w:type="dxa" w:w="60"/>
              <w:right w:type="dxa" w:w="100"/>
            </w:tcMar>
          </w:tcPr>
          <w:p>
            <w:pPr>
              <w:spacing w:line="264"/>
            </w:pPr>
            <w:r>
              <w:rPr>
                <w:b/>
                <w:bCs/>
                <w:color w:val="FFFFFF"/>
                <w:sz w:val="19"/>
                <w:szCs w:val="19"/>
              </w:rPr>
              <w:t xml:space="preserve">Gold (recomputado)</w:t>
            </w:r>
          </w:p>
        </w:tc>
        <w:tc>
          <w:tcPr>
            <w:tcW w:type="dxa" w:w="1176"/>
            <w:tcBorders>
              <w:top w:val="single" w:color="C9D2DE" w:sz="1"/>
              <w:left w:val="single" w:color="C9D2DE" w:sz="1"/>
              <w:bottom w:val="single" w:color="C9D2DE" w:sz="1"/>
              <w:right w:val="single" w:color="C9D2DE" w:sz="1"/>
            </w:tcBorders>
            <w:shd w:fill="1E3A5F" w:val="clear"/>
            <w:tcMar>
              <w:top w:type="dxa" w:w="60"/>
              <w:left w:type="dxa" w:w="100"/>
              <w:bottom w:type="dxa" w:w="60"/>
              <w:right w:type="dxa" w:w="100"/>
            </w:tcMar>
          </w:tcPr>
          <w:p>
            <w:pPr>
              <w:spacing w:line="264"/>
            </w:pPr>
            <w:r>
              <w:rPr>
                <w:b/>
                <w:bCs/>
                <w:color w:val="FFFFFF"/>
                <w:sz w:val="19"/>
                <w:szCs w:val="19"/>
              </w:rPr>
              <w:t xml:space="preserve">Estado</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Eventos detectados (capa Events)</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85.286</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85.286</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Eventos con morfotipo de curva (clustering)</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85.277</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85.277</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Eventos con estado PAC asignado</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83.892</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83.892</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Eventos con morfotipo + 3 escalas (universo RR)</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80.345</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80.345</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Noches in_quality</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560</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560</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Noches cohorte estricta (modelos)</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540</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540</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Noches clustering de trayectoria</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513</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513</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Morfotipo C1</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55.175 / 64,7%</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55.175 / 64,70%</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Morfotipo C2</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21.318 / 25,0%</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21.318 / 25,00%</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Morfotipo C3</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3.662 / 4,3%</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3.662 / 4,29%</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Morfotipo C4</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4.301 / 5,0%</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4.301 / 5,04%</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Morfotipo C5</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821 / 1,0%</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821 / 0,96%</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C4+C5 (severos)</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6,0%</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6,01%</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ARI de C5 (gradiente inverso)</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0,423 ± 0,104</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0,422 ± 0,105</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ρ(ARI, drop_pct)</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0,035</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0,0335</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shd w:fill="FBE9E7" w:val="clear"/>
            <w:tcMar>
              <w:top w:type="dxa" w:w="60"/>
              <w:left w:type="dxa" w:w="100"/>
              <w:bottom w:type="dxa" w:w="60"/>
              <w:right w:type="dxa" w:w="100"/>
            </w:tcMar>
          </w:tcPr>
          <w:p>
            <w:pPr>
              <w:spacing w:line="264"/>
            </w:pPr>
            <w:r>
              <w:rPr>
                <w:sz w:val="19"/>
                <w:szCs w:val="19"/>
              </w:rPr>
              <w:t xml:space="preserve">ρ(ARI, ODI3)</w:t>
            </w:r>
          </w:p>
        </w:tc>
        <w:tc>
          <w:tcPr>
            <w:tcW w:type="dxa" w:w="2150"/>
            <w:tcBorders>
              <w:top w:val="single" w:color="C9D2DE" w:sz="1"/>
              <w:left w:val="single" w:color="C9D2DE" w:sz="1"/>
              <w:bottom w:val="single" w:color="C9D2DE" w:sz="1"/>
              <w:right w:val="single" w:color="C9D2DE" w:sz="1"/>
            </w:tcBorders>
            <w:shd w:fill="FBE9E7" w:val="clear"/>
            <w:tcMar>
              <w:top w:type="dxa" w:w="60"/>
              <w:left w:type="dxa" w:w="100"/>
              <w:bottom w:type="dxa" w:w="60"/>
              <w:right w:type="dxa" w:w="100"/>
            </w:tcMar>
          </w:tcPr>
          <w:p>
            <w:pPr>
              <w:spacing w:line="264"/>
            </w:pPr>
            <w:r>
              <w:rPr>
                <w:sz w:val="19"/>
                <w:szCs w:val="19"/>
              </w:rPr>
              <w:t xml:space="preserve">0,034</w:t>
            </w:r>
          </w:p>
        </w:tc>
        <w:tc>
          <w:tcPr>
            <w:tcW w:type="dxa" w:w="2150"/>
            <w:tcBorders>
              <w:top w:val="single" w:color="C9D2DE" w:sz="1"/>
              <w:left w:val="single" w:color="C9D2DE" w:sz="1"/>
              <w:bottom w:val="single" w:color="C9D2DE" w:sz="1"/>
              <w:right w:val="single" w:color="C9D2DE" w:sz="1"/>
            </w:tcBorders>
            <w:shd w:fill="FBE9E7" w:val="clear"/>
            <w:tcMar>
              <w:top w:type="dxa" w:w="60"/>
              <w:left w:type="dxa" w:w="100"/>
              <w:bottom w:type="dxa" w:w="60"/>
              <w:right w:type="dxa" w:w="100"/>
            </w:tcMar>
          </w:tcPr>
          <w:p>
            <w:pPr>
              <w:spacing w:line="264"/>
            </w:pPr>
            <w:r>
              <w:rPr>
                <w:sz w:val="19"/>
                <w:szCs w:val="19"/>
              </w:rPr>
              <w:t xml:space="preserve">−0,066 (ev.) / −0,245 (noche)</w:t>
            </w:r>
          </w:p>
        </w:tc>
        <w:tc>
          <w:tcPr>
            <w:tcW w:type="dxa" w:w="1176"/>
            <w:tcBorders>
              <w:top w:val="single" w:color="C9D2DE" w:sz="1"/>
              <w:left w:val="single" w:color="C9D2DE" w:sz="1"/>
              <w:bottom w:val="single" w:color="C9D2DE" w:sz="1"/>
              <w:right w:val="single" w:color="C9D2DE" w:sz="1"/>
            </w:tcBorders>
            <w:shd w:fill="FBE9E7" w:val="clear"/>
            <w:tcMar>
              <w:top w:type="dxa" w:w="60"/>
              <w:left w:type="dxa" w:w="100"/>
              <w:bottom w:type="dxa" w:w="60"/>
              <w:right w:type="dxa" w:w="100"/>
            </w:tcMar>
          </w:tcPr>
          <w:p>
            <w:pPr>
              <w:spacing w:line="264"/>
            </w:pPr>
            <w:r>
              <w:rPr>
                <w:b/>
                <w:bCs/>
                <w:color w:val="B3261E"/>
                <w:sz w:val="19"/>
                <w:szCs w:val="19"/>
              </w:rPr>
              <w:t xml:space="preserve">✘ Discrepa</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ICC(1,1) ARI (cohorte completa)</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0,69</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0,688</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Carga hipóxica C4+C5 (vs 6,0% prev.)</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23,8%</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23,80%</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Carga hipóxica C5 solo</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7,0%</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7,01%</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RR evento severo S6 / M1 / L0</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4,9× / 3,3× / 2,0×</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4,91× / 3,34× / 2,04×</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Prevalencia marginal evento severo</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5,73%</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5,73%</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V de Cramér morfotipo–estado S/M/L</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0,356 / 0,231 / 0,196</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0,356 / 0,231 / 0,196</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PCA features nocturnas (21) — PC1</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36,7%</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36,72%</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Especialización S4→ODI3</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+0,691</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+0,690</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Especialización M1→T90</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+0,744</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+0,744</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Especialización S5→ARI</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+0,637</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+0,637</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shd w:fill="FFF6E5" w:val="clear"/>
            <w:tcMar>
              <w:top w:type="dxa" w:w="60"/>
              <w:left w:type="dxa" w:w="100"/>
              <w:bottom w:type="dxa" w:w="60"/>
              <w:right w:type="dxa" w:w="100"/>
            </w:tcMar>
          </w:tcPr>
          <w:p>
            <w:pPr>
              <w:spacing w:line="264"/>
            </w:pPr>
            <w:r>
              <w:rPr>
                <w:sz w:val="19"/>
                <w:szCs w:val="19"/>
              </w:rPr>
              <w:t xml:space="preserve">Especialización L0→T90</w:t>
            </w:r>
          </w:p>
        </w:tc>
        <w:tc>
          <w:tcPr>
            <w:tcW w:type="dxa" w:w="2150"/>
            <w:tcBorders>
              <w:top w:val="single" w:color="C9D2DE" w:sz="1"/>
              <w:left w:val="single" w:color="C9D2DE" w:sz="1"/>
              <w:bottom w:val="single" w:color="C9D2DE" w:sz="1"/>
              <w:right w:val="single" w:color="C9D2DE" w:sz="1"/>
            </w:tcBorders>
            <w:shd w:fill="FFF6E5" w:val="clear"/>
            <w:tcMar>
              <w:top w:type="dxa" w:w="60"/>
              <w:left w:type="dxa" w:w="100"/>
              <w:bottom w:type="dxa" w:w="60"/>
              <w:right w:type="dxa" w:w="100"/>
            </w:tcMar>
          </w:tcPr>
          <w:p>
            <w:pPr>
              <w:spacing w:line="264"/>
            </w:pPr>
            <w:r>
              <w:rPr>
                <w:sz w:val="19"/>
                <w:szCs w:val="19"/>
              </w:rPr>
              <w:t xml:space="preserve">+0,705</w:t>
            </w:r>
          </w:p>
        </w:tc>
        <w:tc>
          <w:tcPr>
            <w:tcW w:type="dxa" w:w="2150"/>
            <w:tcBorders>
              <w:top w:val="single" w:color="C9D2DE" w:sz="1"/>
              <w:left w:val="single" w:color="C9D2DE" w:sz="1"/>
              <w:bottom w:val="single" w:color="C9D2DE" w:sz="1"/>
              <w:right w:val="single" w:color="C9D2DE" w:sz="1"/>
            </w:tcBorders>
            <w:shd w:fill="FFF6E5" w:val="clear"/>
            <w:tcMar>
              <w:top w:type="dxa" w:w="60"/>
              <w:left w:type="dxa" w:w="100"/>
              <w:bottom w:type="dxa" w:w="60"/>
              <w:right w:type="dxa" w:w="100"/>
            </w:tcMar>
          </w:tcPr>
          <w:p>
            <w:pPr>
              <w:spacing w:line="264"/>
            </w:pPr>
            <w:r>
              <w:rPr>
                <w:sz w:val="19"/>
                <w:szCs w:val="19"/>
              </w:rPr>
              <w:t xml:space="preserve">+0,683</w:t>
            </w:r>
          </w:p>
        </w:tc>
        <w:tc>
          <w:tcPr>
            <w:tcW w:type="dxa" w:w="1176"/>
            <w:tcBorders>
              <w:top w:val="single" w:color="C9D2DE" w:sz="1"/>
              <w:left w:val="single" w:color="C9D2DE" w:sz="1"/>
              <w:bottom w:val="single" w:color="C9D2DE" w:sz="1"/>
              <w:right w:val="single" w:color="C9D2DE" w:sz="1"/>
            </w:tcBorders>
            <w:shd w:fill="FFF6E5" w:val="clear"/>
            <w:tcMar>
              <w:top w:type="dxa" w:w="60"/>
              <w:left w:type="dxa" w:w="100"/>
              <w:bottom w:type="dxa" w:w="60"/>
              <w:right w:type="dxa" w:w="100"/>
            </w:tcMar>
          </w:tcPr>
          <w:p>
            <w:pPr>
              <w:spacing w:line="264"/>
            </w:pPr>
            <w:r>
              <w:rPr>
                <w:b/>
                <w:bCs/>
                <w:color w:val="B26B00"/>
                <w:sz w:val="19"/>
                <w:szCs w:val="19"/>
              </w:rPr>
              <w:t xml:space="preserve">≈ Menor</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Especialización L3→ARI</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+0,357</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+0,357</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AUC noche (LR, pooled)</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0,905 (5/8 folds)</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≈0,90 · 5/8 folds eval.</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AUC prospectivo H=5 min</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0,821</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0,821</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AUC prospectivo H=2 / H=15 min</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0,838 / 0,763</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0,838 / 0,763</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Prevalencia H=2 / H=15 min</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3,74% / 18,89%</w:t>
            </w:r>
          </w:p>
        </w:tc>
        <w:tc>
          <w:tcPr>
            <w:tcW w:type="dxa" w:w="2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3,74% / 18,89%</w:t>
            </w:r>
          </w:p>
        </w:tc>
        <w:tc>
          <w:tcPr>
            <w:tcW w:type="dxa" w:w="117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OK</w:t>
            </w:r>
          </w:p>
        </w:tc>
      </w:tr>
      <w:tr>
        <w:tc>
          <w:tcPr>
            <w:tcW w:type="dxa" w:w="3550"/>
            <w:tcBorders>
              <w:top w:val="single" w:color="C9D2DE" w:sz="1"/>
              <w:left w:val="single" w:color="C9D2DE" w:sz="1"/>
              <w:bottom w:val="single" w:color="C9D2DE" w:sz="1"/>
              <w:right w:val="single" w:color="C9D2DE" w:sz="1"/>
            </w:tcBorders>
            <w:shd w:fill="FBE9E7" w:val="clear"/>
            <w:tcMar>
              <w:top w:type="dxa" w:w="60"/>
              <w:left w:type="dxa" w:w="100"/>
              <w:bottom w:type="dxa" w:w="60"/>
              <w:right w:type="dxa" w:w="100"/>
            </w:tcMar>
          </w:tcPr>
          <w:p>
            <w:pPr>
              <w:spacing w:line="264"/>
            </w:pPr>
            <w:r>
              <w:rPr>
                <w:sz w:val="19"/>
                <w:szCs w:val="19"/>
              </w:rPr>
              <w:t xml:space="preserve">Risk Score medianas (Norm/Leve/Mod/Sev)</w:t>
            </w:r>
          </w:p>
        </w:tc>
        <w:tc>
          <w:tcPr>
            <w:tcW w:type="dxa" w:w="2150"/>
            <w:tcBorders>
              <w:top w:val="single" w:color="C9D2DE" w:sz="1"/>
              <w:left w:val="single" w:color="C9D2DE" w:sz="1"/>
              <w:bottom w:val="single" w:color="C9D2DE" w:sz="1"/>
              <w:right w:val="single" w:color="C9D2DE" w:sz="1"/>
            </w:tcBorders>
            <w:shd w:fill="FBE9E7" w:val="clear"/>
            <w:tcMar>
              <w:top w:type="dxa" w:w="60"/>
              <w:left w:type="dxa" w:w="100"/>
              <w:bottom w:type="dxa" w:w="60"/>
              <w:right w:type="dxa" w:w="100"/>
            </w:tcMar>
          </w:tcPr>
          <w:p>
            <w:pPr>
              <w:spacing w:line="264"/>
            </w:pPr>
            <w:r>
              <w:rPr>
                <w:sz w:val="19"/>
                <w:szCs w:val="19"/>
              </w:rPr>
              <w:t xml:space="preserve">25,6 / 31,6 / 72,2 / 80,8</w:t>
            </w:r>
          </w:p>
        </w:tc>
        <w:tc>
          <w:tcPr>
            <w:tcW w:type="dxa" w:w="2150"/>
            <w:tcBorders>
              <w:top w:val="single" w:color="C9D2DE" w:sz="1"/>
              <w:left w:val="single" w:color="C9D2DE" w:sz="1"/>
              <w:bottom w:val="single" w:color="C9D2DE" w:sz="1"/>
              <w:right w:val="single" w:color="C9D2DE" w:sz="1"/>
            </w:tcBorders>
            <w:shd w:fill="FBE9E7" w:val="clear"/>
            <w:tcMar>
              <w:top w:type="dxa" w:w="60"/>
              <w:left w:type="dxa" w:w="100"/>
              <w:bottom w:type="dxa" w:w="60"/>
              <w:right w:type="dxa" w:w="100"/>
            </w:tcMar>
          </w:tcPr>
          <w:p>
            <w:pPr>
              <w:spacing w:line="264"/>
            </w:pPr>
            <w:r>
              <w:rPr>
                <w:sz w:val="19"/>
                <w:szCs w:val="19"/>
              </w:rPr>
              <w:t xml:space="preserve">29,2 / 29,4 / 72,9 / 81,0</w:t>
            </w:r>
          </w:p>
        </w:tc>
        <w:tc>
          <w:tcPr>
            <w:tcW w:type="dxa" w:w="1176"/>
            <w:tcBorders>
              <w:top w:val="single" w:color="C9D2DE" w:sz="1"/>
              <w:left w:val="single" w:color="C9D2DE" w:sz="1"/>
              <w:bottom w:val="single" w:color="C9D2DE" w:sz="1"/>
              <w:right w:val="single" w:color="C9D2DE" w:sz="1"/>
            </w:tcBorders>
            <w:shd w:fill="FBE9E7" w:val="clear"/>
            <w:tcMar>
              <w:top w:type="dxa" w:w="60"/>
              <w:left w:type="dxa" w:w="100"/>
              <w:bottom w:type="dxa" w:w="60"/>
              <w:right w:type="dxa" w:w="100"/>
            </w:tcMar>
          </w:tcPr>
          <w:p>
            <w:pPr>
              <w:spacing w:line="264"/>
            </w:pPr>
            <w:r>
              <w:rPr>
                <w:b/>
                <w:bCs/>
                <w:color w:val="B3261E"/>
                <w:sz w:val="19"/>
                <w:szCs w:val="19"/>
              </w:rPr>
              <w:t xml:space="preserve">✘ Discrepa</w:t>
            </w:r>
          </w:p>
        </w:tc>
      </w:tr>
    </w:tbl>
    <w:p>
      <w:pPr>
        <w:pStyle w:val="Heading1"/>
        <w:spacing w:after="140" w:before="280"/>
      </w:pPr>
      <w:r>
        <w:rPr>
          <w:b/>
          <w:bCs/>
          <w:color w:val="1E3A5F"/>
          <w:sz w:val="26"/>
          <w:szCs w:val="26"/>
        </w:rPr>
        <w:t xml:space="preserve">4. Hallazgos (ordenados por severidad)</w:t>
      </w:r>
    </w:p>
    <w:p>
      <w:pPr>
        <w:spacing w:after="60" w:before="160"/>
      </w:pPr>
      <w:r>
        <w:rPr>
          <w:b/>
          <w:bCs/>
          <w:color w:val="FFFFFF"/>
          <w:sz w:val="19"/>
          <w:szCs w:val="19"/>
        </w:rPr>
        <w:t xml:space="preserve">H1  </w:t>
      </w:r>
      <w:r>
        <w:rPr>
          <w:b/>
          <w:bCs/>
          <w:color w:val="1E3A5F"/>
          <w:sz w:val="22"/>
          <w:szCs w:val="22"/>
        </w:rPr>
        <w:t xml:space="preserve">ρ(ARI, ODI3) = 0,034 no se reproduce contra el Gold  ·  Severidad: media</w:t>
      </w:r>
    </w:p>
    <w:p>
      <w:pPr>
        <w:spacing w:after="90" w:line="312"/>
      </w:pPr>
      <w:r>
        <w:rPr>
          <w:sz w:val="21"/>
          <w:szCs w:val="21"/>
        </w:rPr>
        <w:t xml:space="preserve">La tesis afirma que el ARI es ortogonal al ODI3 con ρ = 0,034 (n = 85.277 EDOs) en Cap09 §9.2/§9.9 y en el glosario (Anexo B). El cómputo independiente da ρ(ARI, ODI3) = −0,066 a nivel de evento y −0,245 a nivel de noche (mean_ari vs odi_3, n=560). El valor 0,034 coincide en cambio con ρ(ARI, drop_pct) = 0,0335, lo que sugiere que la cifra de ODI3 es una transcripción del número de drop_pct.</w:t>
      </w:r>
    </w:p>
    <w:p>
      <w:pPr>
        <w:spacing w:after="90" w:line="312"/>
      </w:pPr>
      <w:r>
        <w:rPr>
          <w:sz w:val="21"/>
          <w:szCs w:val="21"/>
        </w:rPr>
        <w:t xml:space="preserve">La afirmación cualitativa de ortogonalidad sigue siendo defendible a nivel de evento (|ρ| ≈ 0,07, pequeño) y está mejor respaldada por ρ(ARI, drop_pct)=0,035 —que sí reproduce— y por el AUC=0,453 de discriminación de severidad. Pero a nivel de noche la asociación es débilmente negativa (≈ −0,24), coherente con el gradiente autonómico inverso, no nula. Recomendación: recomputar y corregir la cifra (o aclarar el nivel de análisis), ya que es un «número de titular» que la propia hoja de verificación del checklist pide confirmar idéntico en todos los documentos.</w:t>
      </w:r>
    </w:p>
    <w:p>
      <w:pPr>
        <w:spacing w:after="60" w:before="160"/>
      </w:pPr>
      <w:r>
        <w:rPr>
          <w:b/>
          <w:bCs/>
          <w:color w:val="FFFFFF"/>
          <w:sz w:val="19"/>
          <w:szCs w:val="19"/>
        </w:rPr>
        <w:t xml:space="preserve">H2  </w:t>
      </w:r>
      <w:r>
        <w:rPr>
          <w:b/>
          <w:bCs/>
          <w:color w:val="1E3A5F"/>
          <w:sz w:val="22"/>
          <w:szCs w:val="22"/>
        </w:rPr>
        <w:t xml:space="preserve">Risk Score: las medianas de la tesis no reproducen la columna risk_score del Gold  ·  Severidad: media-baja</w:t>
      </w:r>
    </w:p>
    <w:p>
      <w:pPr>
        <w:spacing w:after="90" w:line="312"/>
      </w:pPr>
      <w:r>
        <w:rPr>
          <w:sz w:val="21"/>
          <w:szCs w:val="21"/>
        </w:rPr>
        <w:t xml:space="preserve">La tesis reporta medianas 25,6 / 31,6 / 72,2 / 80,8 (Normal/Leve/Moderado/Severo). La columna risk_score del Gold da 29,2 / 29,4 / 72,9 / 81,0. La §20 lo declara como decisión congelada (recomputación del autor; el heurístico de normalización no fija unívocamente el resultado), de modo que es una desviación divulgada, no un error oculto.</w:t>
      </w:r>
    </w:p>
    <w:p>
      <w:pPr>
        <w:spacing w:after="90" w:line="312"/>
      </w:pPr>
      <w:r>
        <w:rPr>
          <w:sz w:val="21"/>
          <w:szCs w:val="21"/>
        </w:rPr>
        <w:t xml:space="preserve">Aun así, un evaluador que verifica contra el Gold encuentra que la cifra publicada no es reproducible desde los datos provistos. Además es materialmente relevante: con el valor del Gold (29,4) la mediana de Leve caería por debajo de 30 (rango Bajo); la cifra congelada (31,6) la sitúa en Moderado —y sobre ese 31,6 se apoya la corrección M12. Recomendación: dejar el parquet y el texto consistentes, o documentar en el cuerpo (no solo en notas internas) que el risk_score almacenado es un artefacto previo a la recomputación.</w:t>
      </w:r>
    </w:p>
    <w:p>
      <w:pPr>
        <w:spacing w:after="60" w:before="160"/>
      </w:pPr>
      <w:r>
        <w:rPr>
          <w:b/>
          <w:bCs/>
          <w:color w:val="FFFFFF"/>
          <w:sz w:val="19"/>
          <w:szCs w:val="19"/>
        </w:rPr>
        <w:t xml:space="preserve">H3  </w:t>
      </w:r>
      <w:r>
        <w:rPr>
          <w:b/>
          <w:bCs/>
          <w:color w:val="1E3A5F"/>
          <w:sz w:val="22"/>
          <w:szCs w:val="22"/>
        </w:rPr>
        <w:t xml:space="preserve">M2 — «features nocturnas multiescala»: 26 (Cap03) vs 21 (Cap05/Cap10)  ·  Severidad: baja</w:t>
      </w:r>
    </w:p>
    <w:p>
      <w:pPr>
        <w:spacing w:after="90" w:line="312"/>
      </w:pPr>
      <w:r>
        <w:rPr>
          <w:sz w:val="21"/>
          <w:szCs w:val="21"/>
        </w:rPr>
        <w:t xml:space="preserve">Cap03 §3.5 dice «26 features… se incorporan a nights.parquet»; Cap05 §5.5 y Cap10 dicen «21». El Gold contiene 21 features PAC propiamente dichas (15 fracciones + 3 entropías + 3 transiciones), sobre las que se verificó el PCA (PC1=36,7%). La diferencia son 5 variables de contexto que Cap03 suma y los demás capítulos no. La distinción es real pero no se reconcilia explícitamente, dejando una contradicción aparente para el lector.</w:t>
      </w:r>
    </w:p>
    <w:p>
      <w:pPr>
        <w:spacing w:after="60" w:before="160"/>
      </w:pPr>
      <w:r>
        <w:rPr>
          <w:b/>
          <w:bCs/>
          <w:color w:val="FFFFFF"/>
          <w:sz w:val="19"/>
          <w:szCs w:val="19"/>
        </w:rPr>
        <w:t xml:space="preserve">H4  </w:t>
      </w:r>
      <w:r>
        <w:rPr>
          <w:b/>
          <w:bCs/>
          <w:color w:val="1E3A5F"/>
          <w:sz w:val="22"/>
          <w:szCs w:val="22"/>
        </w:rPr>
        <w:t xml:space="preserve">Etiquetas de versión de portada desalineadas con el manifiesto  ·  Severidad: editorial</w:t>
      </w:r>
    </w:p>
    <w:p>
      <w:pPr>
        <w:spacing w:after="90" w:line="312"/>
      </w:pPr>
      <w:r>
        <w:rPr>
          <w:sz w:val="21"/>
          <w:szCs w:val="21"/>
        </w:rPr>
        <w:t xml:space="preserve">Las portadas muestran «Versión 6» en Cap01 (archivo v7), «Versión 4» en Cap10 (archivo v9) y «Versión 2» en Anexo A (archivo v4). No afecta al contenido, pero conviene unificar las etiquetas con el manifiesto §20 antes de imprimir.</w:t>
      </w:r>
    </w:p>
    <w:p>
      <w:pPr>
        <w:spacing w:after="60" w:before="160"/>
      </w:pPr>
      <w:r>
        <w:rPr>
          <w:b/>
          <w:bCs/>
          <w:color w:val="FFFFFF"/>
          <w:sz w:val="19"/>
          <w:szCs w:val="19"/>
        </w:rPr>
        <w:t xml:space="preserve">H5  </w:t>
      </w:r>
      <w:r>
        <w:rPr>
          <w:b/>
          <w:bCs/>
          <w:color w:val="1E3A5F"/>
          <w:sz w:val="22"/>
          <w:szCs w:val="22"/>
        </w:rPr>
        <w:t xml:space="preserve">Discrepancias menores de redondeo  ·  Severidad: editorial</w:t>
      </w:r>
    </w:p>
    <w:p>
      <w:pPr>
        <w:spacing w:after="90" w:line="312"/>
      </w:pPr>
      <w:r>
        <w:rPr>
          <w:sz w:val="21"/>
          <w:szCs w:val="21"/>
        </w:rPr>
        <w:t xml:space="preserve">Especialización L0→T90: declarado +0,705, recomputado +0,683 (Δ≈0,02). V de Cramér: Cap05 usa 0,356/0,231/0,196 y Cap06 usa 0,355/0,229/0,194 (Δ≤0,002) —la tesis ahora explica esta diferencia por corpus (NB04 85.277 vs NB05 83.892), lo que es buena práctica. ARI de C5: 0,423 declarado vs 0,422 Gold (Δ≤0,001). Ninguna altera interpretación.</w:t>
      </w:r>
    </w:p>
    <w:p>
      <w:pPr>
        <w:pStyle w:val="Heading1"/>
        <w:spacing w:after="140" w:before="280"/>
      </w:pPr>
      <w:r>
        <w:rPr>
          <w:b/>
          <w:bCs/>
          <w:color w:val="1E3A5F"/>
          <w:sz w:val="26"/>
          <w:szCs w:val="26"/>
        </w:rPr>
        <w:t xml:space="preserve">5. Verificación ítem por ítem del checklist (C1–C4, I1–I3, M1–M13)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0"/>
        <w:gridCol w:w="5806"/>
        <w:gridCol w:w="2400"/>
      </w:tblGrid>
      <w:tr>
        <w:trPr>
          <w:tblHeader/>
        </w:trPr>
        <w:tc>
          <w:tcPr>
            <w:tcW w:type="dxa" w:w="820"/>
            <w:tcBorders>
              <w:top w:val="single" w:color="C9D2DE" w:sz="1"/>
              <w:left w:val="single" w:color="C9D2DE" w:sz="1"/>
              <w:bottom w:val="single" w:color="C9D2DE" w:sz="1"/>
              <w:right w:val="single" w:color="C9D2DE" w:sz="1"/>
            </w:tcBorders>
            <w:shd w:fill="1E3A5F" w:val="clear"/>
            <w:tcMar>
              <w:top w:type="dxa" w:w="60"/>
              <w:left w:type="dxa" w:w="100"/>
              <w:bottom w:type="dxa" w:w="60"/>
              <w:right w:type="dxa" w:w="100"/>
            </w:tcMar>
          </w:tcPr>
          <w:p>
            <w:pPr>
              <w:spacing w:line="264"/>
            </w:pPr>
            <w:r>
              <w:rPr>
                <w:b/>
                <w:bCs/>
                <w:color w:val="FFFFFF"/>
                <w:sz w:val="19"/>
                <w:szCs w:val="19"/>
              </w:rPr>
              <w:t xml:space="preserve">#</w:t>
            </w:r>
          </w:p>
        </w:tc>
        <w:tc>
          <w:tcPr>
            <w:tcW w:type="dxa" w:w="5806"/>
            <w:tcBorders>
              <w:top w:val="single" w:color="C9D2DE" w:sz="1"/>
              <w:left w:val="single" w:color="C9D2DE" w:sz="1"/>
              <w:bottom w:val="single" w:color="C9D2DE" w:sz="1"/>
              <w:right w:val="single" w:color="C9D2DE" w:sz="1"/>
            </w:tcBorders>
            <w:shd w:fill="1E3A5F" w:val="clear"/>
            <w:tcMar>
              <w:top w:type="dxa" w:w="60"/>
              <w:left w:type="dxa" w:w="100"/>
              <w:bottom w:type="dxa" w:w="60"/>
              <w:right w:type="dxa" w:w="100"/>
            </w:tcMar>
          </w:tcPr>
          <w:p>
            <w:pPr>
              <w:spacing w:line="264"/>
            </w:pPr>
            <w:r>
              <w:rPr>
                <w:b/>
                <w:bCs/>
                <w:color w:val="FFFFFF"/>
                <w:sz w:val="19"/>
                <w:szCs w:val="19"/>
              </w:rPr>
              <w:t xml:space="preserve">Verificación contra la versión final</w:t>
            </w:r>
          </w:p>
        </w:tc>
        <w:tc>
          <w:tcPr>
            <w:tcW w:type="dxa" w:w="2400"/>
            <w:tcBorders>
              <w:top w:val="single" w:color="C9D2DE" w:sz="1"/>
              <w:left w:val="single" w:color="C9D2DE" w:sz="1"/>
              <w:bottom w:val="single" w:color="C9D2DE" w:sz="1"/>
              <w:right w:val="single" w:color="C9D2DE" w:sz="1"/>
            </w:tcBorders>
            <w:shd w:fill="1E3A5F" w:val="clear"/>
            <w:tcMar>
              <w:top w:type="dxa" w:w="60"/>
              <w:left w:type="dxa" w:w="100"/>
              <w:bottom w:type="dxa" w:w="60"/>
              <w:right w:type="dxa" w:w="100"/>
            </w:tcMar>
          </w:tcPr>
          <w:p>
            <w:pPr>
              <w:spacing w:line="264"/>
            </w:pPr>
            <w:r>
              <w:rPr>
                <w:b/>
                <w:bCs/>
                <w:color w:val="FFFFFF"/>
                <w:sz w:val="19"/>
                <w:szCs w:val="19"/>
              </w:rPr>
              <w:t xml:space="preserve">Estado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C1</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Definición ARI unificada a 2 componentes (0,6/0,4 sobre drop_pct); Cap03 §3.3.3 canónica; Tabla 4.5 re-rotulada como «problema de escala / combinación naïve descartada».</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C2</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Tabla 4.5 reconvertida en tabla diagnóstica de escala (no es el ARI); el peso anómalo de MOV queda contextualizado como artefacto.</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C3</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Resuelto distinto a lo sugerido pero coherente: «diferencia ≈ 0,03» se acota a los dos fenotipos predominantes (0,524 vs 0,492) y CHA se reporta aparte (0,284). Gold confirma el patrón.</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C4</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Tabla 4.2 suma exactamente 85.277 (55.175+21.318+3.662+4.301+821). El 84.193 eliminado.</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I1</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Estado de T1 unificado a «Enviado (junio 2026)» en Cap01, Cap10 y Anexo A; Cap03 ya no dice «publicada» (cita Inza et al., 2026).</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I2</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El 0,905 lleva el caveat en cada aparición (Cap06 §6.11, Cap08 Tabla 8.1, Cap10): pooled sobre 494 noches; AUC por paciente definido en 5/8 folds (media 0,856). Gold confirma 5/8.</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I3</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Cap04 §4.2.2 reporta el 23,8% real (C5 = 7,0%); «presumiblemente» eliminado. Coincide con Gold.</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M1</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553/560 unificado a «560 noches in_quality» (todas con ≥1 EDO en el Gold actual).</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shd w:fill="FFF6E5" w:val="clear"/>
            <w:tcMar>
              <w:top w:type="dxa" w:w="60"/>
              <w:left w:type="dxa" w:w="100"/>
              <w:bottom w:type="dxa" w:w="60"/>
              <w:right w:type="dxa" w:w="100"/>
            </w:tcMar>
          </w:tcPr>
          <w:p>
            <w:pPr>
              <w:spacing w:line="264"/>
            </w:pPr>
            <w:r>
              <w:rPr>
                <w:b/>
                <w:bCs/>
                <w:sz w:val="19"/>
                <w:szCs w:val="19"/>
              </w:rPr>
              <w:t xml:space="preserve">M2</w:t>
            </w:r>
          </w:p>
        </w:tc>
        <w:tc>
          <w:tcPr>
            <w:tcW w:type="dxa" w:w="5806"/>
            <w:tcBorders>
              <w:top w:val="single" w:color="C9D2DE" w:sz="1"/>
              <w:left w:val="single" w:color="C9D2DE" w:sz="1"/>
              <w:bottom w:val="single" w:color="C9D2DE" w:sz="1"/>
              <w:right w:val="single" w:color="C9D2DE" w:sz="1"/>
            </w:tcBorders>
            <w:shd w:fill="FFF6E5" w:val="clear"/>
            <w:tcMar>
              <w:top w:type="dxa" w:w="60"/>
              <w:left w:type="dxa" w:w="100"/>
              <w:bottom w:type="dxa" w:w="60"/>
              <w:right w:type="dxa" w:w="100"/>
            </w:tcMar>
          </w:tcPr>
          <w:p>
            <w:pPr>
              <w:spacing w:line="264"/>
            </w:pPr>
            <w:r>
              <w:rPr>
                <w:sz w:val="19"/>
                <w:szCs w:val="19"/>
              </w:rPr>
              <w:t xml:space="preserve">Persiste ambigüedad: Cap03 §3.5 dice «26 features… se incorporan a nights.parquet»; Cap05 §5.5 y Cap10 dicen «21». El Gold contiene 21 features PAC (15+3+3); las 5 de contexto no se reconcilian explícitamente.</w:t>
            </w:r>
          </w:p>
        </w:tc>
        <w:tc>
          <w:tcPr>
            <w:tcW w:type="dxa" w:w="2400"/>
            <w:tcBorders>
              <w:top w:val="single" w:color="C9D2DE" w:sz="1"/>
              <w:left w:val="single" w:color="C9D2DE" w:sz="1"/>
              <w:bottom w:val="single" w:color="C9D2DE" w:sz="1"/>
              <w:right w:val="single" w:color="C9D2DE" w:sz="1"/>
            </w:tcBorders>
            <w:shd w:fill="FFF6E5" w:val="clear"/>
            <w:tcMar>
              <w:top w:type="dxa" w:w="60"/>
              <w:left w:type="dxa" w:w="100"/>
              <w:bottom w:type="dxa" w:w="60"/>
              <w:right w:type="dxa" w:w="100"/>
            </w:tcMar>
          </w:tcPr>
          <w:p>
            <w:pPr>
              <w:spacing w:line="264"/>
            </w:pPr>
            <w:r>
              <w:rPr>
                <w:b/>
                <w:bCs/>
                <w:color w:val="B26B00"/>
                <w:sz w:val="19"/>
                <w:szCs w:val="19"/>
              </w:rPr>
              <w:t xml:space="preserve">◐ Parcial</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M3</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RR S6 unificado a 4,9× en todos los capítulos (Gold: 4,91×). El 4,70× eliminado.</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M4</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Prevalencia C1 = 64,7% en todo el texto (Gold: 64,70%).</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M5</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ICC de morfotipos: texto §4.2.4 usa 0,419/0,476/0,505 de forma interna consistente.</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M6</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ARI C5 unificado a 0,423 ± 0,104 (Gold 0,422 ± 0,105; ≤0,001).</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M7</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N=513 explicado: «560 in_quality con vector multiescala completo; se excluyen 47 noches sin coupling index». Gold confirma 513.</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M8</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Referencias cruzadas corregidas: objetivos en §1.2 (Cap10); gradiente inverso en §4.3.2 (Cap07). No quedan §1.6 ni §4.3.3.</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M9</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Tabla 3.2 «universos de datos» añadida en Cap03 §3.3.4; 84.193 removido del conjunto.</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M10</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Sands et al. (2018, zsx183); Eckert et al. (2013) para los 4 rasgos; Prabhakar 2016a/2016b desambiguado.</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M11</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Nota de desarrollo «carpeta PAC_v2» eliminada del glosario (Anexo B).</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M12</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Cap06 §6.13: la mediana de Leve (31,6) se describe como «apenas por encima del umbral de 30, en el límite inferior de Moderado». Correcto.</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r>
        <w:tc>
          <w:tcPr>
            <w:tcW w:type="dxa" w:w="82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M13</w:t>
            </w:r>
          </w:p>
        </w:tc>
        <w:tc>
          <w:tcPr>
            <w:tcW w:type="dxa" w:w="580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Metáforas literarias pasadas a texto corrido (ya no encabezados) y reducidas; cierre metafórico reservado a Cap10.</w:t>
            </w:r>
          </w:p>
        </w:tc>
        <w:tc>
          <w:tcPr>
            <w:tcW w:type="dxa" w:w="24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color w:val="1B7A3D"/>
                <w:sz w:val="19"/>
                <w:szCs w:val="19"/>
              </w:rPr>
              <w:t xml:space="preserve">✔ Cerrado</w:t>
            </w:r>
          </w:p>
        </w:tc>
      </w:tr>
    </w:tbl>
    <w:p>
      <w:pPr>
        <w:spacing w:after="0" w:line="312"/>
      </w:pPr>
      <w:r>
        <w:rPr>
          <w:i/>
          <w:iCs/>
          <w:color w:val="6B7280"/>
          <w:sz w:val="19"/>
          <w:szCs w:val="19"/>
        </w:rPr>
        <w:t xml:space="preserve">Resultado: C1–C4 cerrados, I1–I3 cerrados, 12/13 Menores cerradas; solo M2 queda parcialmente abierto (ver H3).</w:t>
      </w:r>
    </w:p>
    <w:p>
      <w:pPr>
        <w:pStyle w:val="Heading1"/>
        <w:spacing w:after="140" w:before="280"/>
      </w:pPr>
      <w:r>
        <w:rPr>
          <w:b/>
          <w:bCs/>
          <w:color w:val="1E3A5F"/>
          <w:sz w:val="26"/>
          <w:szCs w:val="26"/>
        </w:rPr>
        <w:t xml:space="preserve">6. Calificación por capítulo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5026"/>
        <w:gridCol w:w="1150"/>
        <w:gridCol w:w="1700"/>
      </w:tblGrid>
      <w:tr>
        <w:trPr>
          <w:tblHeader/>
        </w:trPr>
        <w:tc>
          <w:tcPr>
            <w:tcW w:type="dxa" w:w="1150"/>
            <w:tcBorders>
              <w:top w:val="single" w:color="C9D2DE" w:sz="1"/>
              <w:left w:val="single" w:color="C9D2DE" w:sz="1"/>
              <w:bottom w:val="single" w:color="C9D2DE" w:sz="1"/>
              <w:right w:val="single" w:color="C9D2DE" w:sz="1"/>
            </w:tcBorders>
            <w:shd w:fill="1E3A5F" w:val="clear"/>
            <w:tcMar>
              <w:top w:type="dxa" w:w="60"/>
              <w:left w:type="dxa" w:w="100"/>
              <w:bottom w:type="dxa" w:w="60"/>
              <w:right w:type="dxa" w:w="100"/>
            </w:tcMar>
          </w:tcPr>
          <w:p>
            <w:pPr>
              <w:spacing w:line="264"/>
            </w:pPr>
            <w:r>
              <w:rPr>
                <w:b/>
                <w:bCs/>
                <w:color w:val="FFFFFF"/>
                <w:sz w:val="19"/>
                <w:szCs w:val="19"/>
              </w:rPr>
              <w:t xml:space="preserve">Cap.</w:t>
            </w:r>
          </w:p>
        </w:tc>
        <w:tc>
          <w:tcPr>
            <w:tcW w:type="dxa" w:w="5026"/>
            <w:tcBorders>
              <w:top w:val="single" w:color="C9D2DE" w:sz="1"/>
              <w:left w:val="single" w:color="C9D2DE" w:sz="1"/>
              <w:bottom w:val="single" w:color="C9D2DE" w:sz="1"/>
              <w:right w:val="single" w:color="C9D2DE" w:sz="1"/>
            </w:tcBorders>
            <w:shd w:fill="1E3A5F" w:val="clear"/>
            <w:tcMar>
              <w:top w:type="dxa" w:w="60"/>
              <w:left w:type="dxa" w:w="100"/>
              <w:bottom w:type="dxa" w:w="60"/>
              <w:right w:type="dxa" w:w="100"/>
            </w:tcMar>
          </w:tcPr>
          <w:p>
            <w:pPr>
              <w:spacing w:line="264"/>
            </w:pPr>
            <w:r>
              <w:rPr>
                <w:b/>
                <w:bCs/>
                <w:color w:val="FFFFFF"/>
                <w:sz w:val="19"/>
                <w:szCs w:val="19"/>
              </w:rPr>
              <w:t xml:space="preserve">Justificación</w:t>
            </w:r>
          </w:p>
        </w:tc>
        <w:tc>
          <w:tcPr>
            <w:tcW w:type="dxa" w:w="1150"/>
            <w:tcBorders>
              <w:top w:val="single" w:color="C9D2DE" w:sz="1"/>
              <w:left w:val="single" w:color="C9D2DE" w:sz="1"/>
              <w:bottom w:val="single" w:color="C9D2DE" w:sz="1"/>
              <w:right w:val="single" w:color="C9D2DE" w:sz="1"/>
            </w:tcBorders>
            <w:shd w:fill="1E3A5F" w:val="clear"/>
            <w:tcMar>
              <w:top w:type="dxa" w:w="60"/>
              <w:left w:type="dxa" w:w="100"/>
              <w:bottom w:type="dxa" w:w="60"/>
              <w:right w:type="dxa" w:w="100"/>
            </w:tcMar>
          </w:tcPr>
          <w:p>
            <w:pPr>
              <w:spacing w:line="264"/>
            </w:pPr>
            <w:r>
              <w:rPr>
                <w:b/>
                <w:bCs/>
                <w:color w:val="FFFFFF"/>
                <w:sz w:val="19"/>
                <w:szCs w:val="19"/>
              </w:rPr>
              <w:t xml:space="preserve">Nota</w:t>
            </w:r>
          </w:p>
        </w:tc>
        <w:tc>
          <w:tcPr>
            <w:tcW w:type="dxa" w:w="1700"/>
            <w:tcBorders>
              <w:top w:val="single" w:color="C9D2DE" w:sz="1"/>
              <w:left w:val="single" w:color="C9D2DE" w:sz="1"/>
              <w:bottom w:val="single" w:color="C9D2DE" w:sz="1"/>
              <w:right w:val="single" w:color="C9D2DE" w:sz="1"/>
            </w:tcBorders>
            <w:shd w:fill="1E3A5F" w:val="clear"/>
            <w:tcMar>
              <w:top w:type="dxa" w:w="60"/>
              <w:left w:type="dxa" w:w="100"/>
              <w:bottom w:type="dxa" w:w="60"/>
              <w:right w:type="dxa" w:w="100"/>
            </w:tcMar>
          </w:tcPr>
          <w:p>
            <w:pPr>
              <w:spacing w:line="264"/>
            </w:pPr>
            <w:r>
              <w:rPr>
                <w:b/>
                <w:bCs/>
                <w:color w:val="FFFFFF"/>
                <w:sz w:val="19"/>
                <w:szCs w:val="19"/>
              </w:rPr>
              <w:t xml:space="preserve">Nivel</w:t>
            </w:r>
          </w:p>
        </w:tc>
      </w:tr>
      <w:tr>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Cap01</w:t>
            </w:r>
          </w:p>
        </w:tc>
        <w:tc>
          <w:tcPr>
            <w:tcW w:type="dxa" w:w="502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Introducción — clara, objetivos bien planteados, tono de potencialidad correcto. Etiqueta de portada «Versión 6» no coincide con el manifiesto (v7).</w:t>
            </w:r>
          </w:p>
        </w:tc>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b/>
                <w:bCs/>
                <w:color w:val="1E3A5F"/>
                <w:sz w:val="21"/>
                <w:szCs w:val="21"/>
              </w:rPr>
              <w:t xml:space="preserve">9,0</w:t>
            </w:r>
          </w:p>
        </w:tc>
        <w:tc>
          <w:tcPr>
            <w:tcW w:type="dxa" w:w="17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sz w:val="19"/>
                <w:szCs w:val="19"/>
              </w:rPr>
              <w:t xml:space="preserve">Sólido</w:t>
            </w:r>
          </w:p>
        </w:tc>
      </w:tr>
      <w:tr>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Cap02</w:t>
            </w:r>
          </w:p>
        </w:tc>
        <w:tc>
          <w:tcPr>
            <w:tcW w:type="dxa" w:w="502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Marco Teórico — sin cambios (v3), bien articulado en 4 pilares; sin resultados propios, como corresponde.</w:t>
            </w:r>
          </w:p>
        </w:tc>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b/>
                <w:bCs/>
                <w:color w:val="1E3A5F"/>
                <w:sz w:val="21"/>
                <w:szCs w:val="21"/>
              </w:rPr>
              <w:t xml:space="preserve">9,0</w:t>
            </w:r>
          </w:p>
        </w:tc>
        <w:tc>
          <w:tcPr>
            <w:tcW w:type="dxa" w:w="17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sz w:val="19"/>
                <w:szCs w:val="19"/>
              </w:rPr>
              <w:t xml:space="preserve">Sólido</w:t>
            </w:r>
          </w:p>
        </w:tc>
      </w:tr>
      <w:tr>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Cap03</w:t>
            </w:r>
          </w:p>
        </w:tc>
        <w:tc>
          <w:tcPr>
            <w:tcW w:type="dxa" w:w="502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Materiales y Métodos — ARI canónico, Tabla 3.2 de universos. Resta ambigüedad 26 vs 21 features (M2).</w:t>
            </w:r>
          </w:p>
        </w:tc>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b/>
                <w:bCs/>
                <w:color w:val="1E3A5F"/>
                <w:sz w:val="21"/>
                <w:szCs w:val="21"/>
              </w:rPr>
              <w:t xml:space="preserve">8,8</w:t>
            </w:r>
          </w:p>
        </w:tc>
        <w:tc>
          <w:tcPr>
            <w:tcW w:type="dxa" w:w="17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sz w:val="19"/>
                <w:szCs w:val="19"/>
              </w:rPr>
              <w:t xml:space="preserve">Muy bueno</w:t>
            </w:r>
          </w:p>
        </w:tc>
      </w:tr>
      <w:tr>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Cap04</w:t>
            </w:r>
          </w:p>
        </w:tc>
        <w:tc>
          <w:tcPr>
            <w:tcW w:type="dxa" w:w="502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Fenotipado + ARI — todas las cifras reproducen contra Gold (C1–C5, ARI C5, carga 23,8%, ICC); C4 cerrado. Capítulo más corregido y más exacto.</w:t>
            </w:r>
          </w:p>
        </w:tc>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b/>
                <w:bCs/>
                <w:color w:val="1E3A5F"/>
                <w:sz w:val="21"/>
                <w:szCs w:val="21"/>
              </w:rPr>
              <w:t xml:space="preserve">9,3</w:t>
            </w:r>
          </w:p>
        </w:tc>
        <w:tc>
          <w:tcPr>
            <w:tcW w:type="dxa" w:w="17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sz w:val="19"/>
                <w:szCs w:val="19"/>
              </w:rPr>
              <w:t xml:space="preserve">Excelente</w:t>
            </w:r>
          </w:p>
        </w:tc>
      </w:tr>
      <w:tr>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Cap05</w:t>
            </w:r>
          </w:p>
        </w:tc>
        <w:tc>
          <w:tcPr>
            <w:tcW w:type="dxa" w:w="502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PAC States — PC1=36,7% y especialización funcional verificados contra Gold; 21 features consistente.</w:t>
            </w:r>
          </w:p>
        </w:tc>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b/>
                <w:bCs/>
                <w:color w:val="1E3A5F"/>
                <w:sz w:val="21"/>
                <w:szCs w:val="21"/>
              </w:rPr>
              <w:t xml:space="preserve">9,2</w:t>
            </w:r>
          </w:p>
        </w:tc>
        <w:tc>
          <w:tcPr>
            <w:tcW w:type="dxa" w:w="17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sz w:val="19"/>
                <w:szCs w:val="19"/>
              </w:rPr>
              <w:t xml:space="preserve">Excelente</w:t>
            </w:r>
          </w:p>
        </w:tc>
      </w:tr>
      <w:tr>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Cap06</w:t>
            </w:r>
          </w:p>
        </w:tc>
        <w:tc>
          <w:tcPr>
            <w:tcW w:type="dxa" w:w="502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Modelado — caveat del 0,905 ejemplar (5/8 folds), RR unificado, N=513 explicado. Risk Score usa medianas que no reproducen la columna del Gold.</w:t>
            </w:r>
          </w:p>
        </w:tc>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b/>
                <w:bCs/>
                <w:color w:val="1E3A5F"/>
                <w:sz w:val="21"/>
                <w:szCs w:val="21"/>
              </w:rPr>
              <w:t xml:space="preserve">8,9</w:t>
            </w:r>
          </w:p>
        </w:tc>
        <w:tc>
          <w:tcPr>
            <w:tcW w:type="dxa" w:w="17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sz w:val="19"/>
                <w:szCs w:val="19"/>
              </w:rPr>
              <w:t xml:space="preserve">Muy bueno</w:t>
            </w:r>
          </w:p>
        </w:tc>
      </w:tr>
      <w:tr>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Cap07</w:t>
            </w:r>
          </w:p>
        </w:tc>
        <w:tc>
          <w:tcPr>
            <w:tcW w:type="dxa" w:w="502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App clínica — cross-ref corregida, doble backend LLM, limitaciones honestas (n=8, sin validación externa).</w:t>
            </w:r>
          </w:p>
        </w:tc>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b/>
                <w:bCs/>
                <w:color w:val="1E3A5F"/>
                <w:sz w:val="21"/>
                <w:szCs w:val="21"/>
              </w:rPr>
              <w:t xml:space="preserve">9,0</w:t>
            </w:r>
          </w:p>
        </w:tc>
        <w:tc>
          <w:tcPr>
            <w:tcW w:type="dxa" w:w="17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sz w:val="19"/>
                <w:szCs w:val="19"/>
              </w:rPr>
              <w:t xml:space="preserve">Sólido</w:t>
            </w:r>
          </w:p>
        </w:tc>
      </w:tr>
      <w:tr>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Cap08</w:t>
            </w:r>
          </w:p>
        </w:tc>
        <w:tc>
          <w:tcPr>
            <w:tcW w:type="dxa" w:w="502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Predicción prospectiva — todas las métricas NB08 reproducen exactamente (0,821; prevalencias 3,74→18,89%); límites bien declarados.</w:t>
            </w:r>
          </w:p>
        </w:tc>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b/>
                <w:bCs/>
                <w:color w:val="1E3A5F"/>
                <w:sz w:val="21"/>
                <w:szCs w:val="21"/>
              </w:rPr>
              <w:t xml:space="preserve">9,3</w:t>
            </w:r>
          </w:p>
        </w:tc>
        <w:tc>
          <w:tcPr>
            <w:tcW w:type="dxa" w:w="17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sz w:val="19"/>
                <w:szCs w:val="19"/>
              </w:rPr>
              <w:t xml:space="preserve">Excelente</w:t>
            </w:r>
          </w:p>
        </w:tc>
      </w:tr>
      <w:tr>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Cap09</w:t>
            </w:r>
          </w:p>
        </w:tc>
        <w:tc>
          <w:tcPr>
            <w:tcW w:type="dxa" w:w="502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Discusión — síntesis fuerte y bien posicionada, pero porta el ρ(ARI,ODI3)=0,034 no reproducible (×2).</w:t>
            </w:r>
          </w:p>
        </w:tc>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b/>
                <w:bCs/>
                <w:color w:val="1E3A5F"/>
                <w:sz w:val="21"/>
                <w:szCs w:val="21"/>
              </w:rPr>
              <w:t xml:space="preserve">8,6</w:t>
            </w:r>
          </w:p>
        </w:tc>
        <w:tc>
          <w:tcPr>
            <w:tcW w:type="dxa" w:w="17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sz w:val="19"/>
                <w:szCs w:val="19"/>
              </w:rPr>
              <w:t xml:space="preserve">Muy bueno</w:t>
            </w:r>
          </w:p>
        </w:tc>
      </w:tr>
      <w:tr>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Cap10</w:t>
            </w:r>
          </w:p>
        </w:tc>
        <w:tc>
          <w:tcPr>
            <w:tcW w:type="dxa" w:w="502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Conclusiones — Tabla 10.1 responde objetivos con números verificables; cierre adecuado. Portada «Versión 4» ≠ manifiesto (v9).</w:t>
            </w:r>
          </w:p>
        </w:tc>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b/>
                <w:bCs/>
                <w:color w:val="1E3A5F"/>
                <w:sz w:val="21"/>
                <w:szCs w:val="21"/>
              </w:rPr>
              <w:t xml:space="preserve">9,0</w:t>
            </w:r>
          </w:p>
        </w:tc>
        <w:tc>
          <w:tcPr>
            <w:tcW w:type="dxa" w:w="17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sz w:val="19"/>
                <w:szCs w:val="19"/>
              </w:rPr>
              <w:t xml:space="preserve">Sólido</w:t>
            </w:r>
          </w:p>
        </w:tc>
      </w:tr>
      <w:tr>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b/>
                <w:bCs/>
                <w:sz w:val="19"/>
                <w:szCs w:val="19"/>
              </w:rPr>
              <w:t xml:space="preserve">Anexos</w:t>
            </w:r>
          </w:p>
        </w:tc>
        <w:tc>
          <w:tcPr>
            <w:tcW w:type="dxa" w:w="5026"/>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pPr>
            <w:r>
              <w:rPr>
                <w:sz w:val="19"/>
                <w:szCs w:val="19"/>
              </w:rPr>
              <w:t xml:space="preserve">A (referencias, Sands/Prabhakar OK) · B (glosario; replica ρ=0,034 y ARI) · Suplementario.</w:t>
            </w:r>
          </w:p>
        </w:tc>
        <w:tc>
          <w:tcPr>
            <w:tcW w:type="dxa" w:w="115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b/>
                <w:bCs/>
                <w:color w:val="1E3A5F"/>
                <w:sz w:val="21"/>
                <w:szCs w:val="21"/>
              </w:rPr>
              <w:t xml:space="preserve">8,9</w:t>
            </w:r>
          </w:p>
        </w:tc>
        <w:tc>
          <w:tcPr>
            <w:tcW w:type="dxa" w:w="1700"/>
            <w:tcBorders>
              <w:top w:val="single" w:color="C9D2DE" w:sz="1"/>
              <w:left w:val="single" w:color="C9D2DE" w:sz="1"/>
              <w:bottom w:val="single" w:color="C9D2DE" w:sz="1"/>
              <w:right w:val="single" w:color="C9D2DE" w:sz="1"/>
            </w:tcBorders>
            <w:tcMar>
              <w:top w:type="dxa" w:w="60"/>
              <w:left w:type="dxa" w:w="100"/>
              <w:bottom w:type="dxa" w:w="60"/>
              <w:right w:type="dxa" w:w="100"/>
            </w:tcMar>
          </w:tcPr>
          <w:p>
            <w:pPr>
              <w:spacing w:line="264"/>
              <w:jc w:val="center"/>
            </w:pPr>
            <w:r>
              <w:rPr>
                <w:sz w:val="19"/>
                <w:szCs w:val="19"/>
              </w:rPr>
              <w:t xml:space="preserve">Muy bueno</w:t>
            </w:r>
          </w:p>
        </w:tc>
      </w:tr>
    </w:tbl>
    <w:p>
      <w:pPr>
        <w:pStyle w:val="Heading1"/>
        <w:spacing w:after="140" w:before="280"/>
      </w:pPr>
      <w:r>
        <w:rPr>
          <w:b/>
          <w:bCs/>
          <w:color w:val="1E3A5F"/>
          <w:sz w:val="26"/>
          <w:szCs w:val="26"/>
        </w:rPr>
        <w:t xml:space="preserve">7. Calificación final y justificación</w:t>
      </w:r>
    </w:p>
    <w:p>
      <w:pPr>
        <w:spacing w:after="120" w:line="312"/>
      </w:pPr>
      <w:r>
        <w:rPr>
          <w:b/>
          <w:bCs/>
          <w:color w:val="1E3A5F"/>
          <w:sz w:val="23"/>
          <w:szCs w:val="23"/>
        </w:rPr>
        <w:t xml:space="preserve">Nota final: 9,0 / 10.</w:t>
      </w:r>
    </w:p>
    <w:p>
      <w:pPr>
        <w:spacing w:after="120" w:line="312"/>
      </w:pPr>
      <w:r>
        <w:rPr>
          <w:sz w:val="21"/>
          <w:szCs w:val="21"/>
        </w:rPr>
        <w:t xml:space="preserve">La tesis exhibe un nivel de reproducibilidad poco habitual: sometida a una verificación independiente contra el Gold, la inmensa mayoría de sus cifras de titular se sostienen con coincidencia exacta. El pipeline (Medallion Bronze→Gold, QC no destructivo), la validación (LOPO-CV con n efectivo declarado, ICC, Bland-Altman, énfasis en tamaños de efecto sobre p-valores) y, sobre todo, la honestidad epistémica —el caveat del 0,905 sobre 5/8 folds, la circularidad PAC declarada, el estimulador tratado como hipótesis operacional— están a la altura de una tesis de maestría sobresaliente. El checklist crítico está cerrado y el corpus es internamente consistente entre los 13 documentos.</w:t>
      </w:r>
    </w:p>
    <w:p>
      <w:pPr>
        <w:spacing w:after="120" w:line="312"/>
      </w:pPr>
      <w:r>
        <w:rPr>
          <w:sz w:val="21"/>
          <w:szCs w:val="21"/>
        </w:rPr>
        <w:t xml:space="preserve">No alcanza el 9,5 que el autor se autoasignó por dos razones que un evaluador externo estricto sí computa: (1) una cifra de titular —la ortogonalidad ARI–ODI3 = 0,034— no reproduce contra el Gold y debería corregirse (H1); y (2) las medianas del Risk Score publicadas divergen de la columna del Gold (H2), una desviación divulgada pero no reproducible desde los datos provistos. A ello se suman cuestiones menores (M2, etiquetas de versión). El techo estructural —n = 8 pacientes para los modelos supervisados y la circularidad del clustering PAC— está correctamente reconocido por el propio trabajo y limita la generalización, no la validez interna.</w:t>
      </w:r>
    </w:p>
    <w:p>
      <w:pPr>
        <w:spacing w:after="120" w:line="312"/>
      </w:pPr>
      <w:r>
        <w:rPr>
          <w:sz w:val="21"/>
          <w:szCs w:val="21"/>
        </w:rPr>
        <w:t xml:space="preserve">Corregidos H1 y H2 (ambos de bajo esfuerzo: recomputar dos números y armonizar el texto), la tesis se ubicaría en el rango 9,3–9,5. En su estado actual, la calificación es 9,0/10: un trabajo de muy alta calidad, defendible, con dos correcciones puntuales pendientes.</w:t>
      </w:r>
    </w:p>
    <w:p>
      <w:pPr>
        <w:pStyle w:val="Heading1"/>
        <w:spacing w:after="140" w:before="280"/>
      </w:pPr>
      <w:r>
        <w:rPr>
          <w:b/>
          <w:bCs/>
          <w:color w:val="1E3A5F"/>
          <w:sz w:val="26"/>
          <w:szCs w:val="26"/>
        </w:rPr>
        <w:t xml:space="preserve">8. Recomendaciones antes de la defensa</w:t>
      </w:r>
    </w:p>
    <w:p>
      <w:pPr>
        <w:pStyle w:val="ListParagraph"/>
        <w:numPr>
          <w:ilvl w:val="0"/>
          <w:numId w:val="2"/>
        </w:numPr>
        <w:spacing w:after="80" w:line="300"/>
      </w:pPr>
      <w:r>
        <w:rPr>
          <w:sz w:val="21"/>
          <w:szCs w:val="21"/>
        </w:rPr>
        <w:t xml:space="preserve">Recomputar ρ(ARI, ODI3) y corregir el 0,034 en Cap09 (×2) y en el glosario, o reformular como ρ vs drop_pct (que sí reproduce).</w:t>
      </w:r>
    </w:p>
    <w:p>
      <w:pPr>
        <w:pStyle w:val="ListParagraph"/>
        <w:numPr>
          <w:ilvl w:val="0"/>
          <w:numId w:val="2"/>
        </w:numPr>
        <w:spacing w:after="80" w:line="300"/>
      </w:pPr>
      <w:r>
        <w:rPr>
          <w:sz w:val="21"/>
          <w:szCs w:val="21"/>
        </w:rPr>
        <w:t xml:space="preserve">Alinear las medianas del Risk Score con la columna del Gold, o documentar en el cuerpo (no solo en nota interna) por qué se congelan los valores 25,6/31,6/72,2/80,8.</w:t>
      </w:r>
    </w:p>
    <w:p>
      <w:pPr>
        <w:pStyle w:val="ListParagraph"/>
        <w:numPr>
          <w:ilvl w:val="0"/>
          <w:numId w:val="2"/>
        </w:numPr>
        <w:spacing w:after="80" w:line="300"/>
      </w:pPr>
      <w:r>
        <w:rPr>
          <w:sz w:val="21"/>
          <w:szCs w:val="21"/>
        </w:rPr>
        <w:t xml:space="preserve">Reconciliar el conteo de features nocturnas: una sola frase que aclare «21 features PAC + 5 de contexto = 26» y unificar qué número se cita como «features multiescala».</w:t>
      </w:r>
    </w:p>
    <w:p>
      <w:pPr>
        <w:pStyle w:val="ListParagraph"/>
        <w:numPr>
          <w:ilvl w:val="0"/>
          <w:numId w:val="2"/>
        </w:numPr>
        <w:spacing w:after="80" w:line="300"/>
      </w:pPr>
      <w:r>
        <w:rPr>
          <w:sz w:val="21"/>
          <w:szCs w:val="21"/>
        </w:rPr>
        <w:t xml:space="preserve">Unificar las etiquetas de versión de portada (Cap01, Cap10, Anexo A) con el manifiesto §20.</w:t>
      </w:r>
    </w:p>
    <w:p>
      <w:pPr>
        <w:pStyle w:val="ListParagraph"/>
        <w:numPr>
          <w:ilvl w:val="0"/>
          <w:numId w:val="2"/>
        </w:numPr>
        <w:spacing w:after="80" w:line="300"/>
      </w:pPr>
      <w:r>
        <w:rPr>
          <w:sz w:val="21"/>
          <w:szCs w:val="21"/>
        </w:rPr>
        <w:t xml:space="preserve">Preparar para la defensa la respuesta al n=8 y a la circularidad PAC: son las dos preguntas que un jurado riguroso hará, y conviene anticipar el diseño de validación externa (recluster within-fold / cohorte independiente).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4" w:sz="6" w:space="6"/>
      </w:pBdr>
      <w:jc w:val="right"/>
    </w:pPr>
    <w:r>
      <w:rPr>
        <w:color w:val="6B7280"/>
        <w:sz w:val="16"/>
        <w:szCs w:val="16"/>
      </w:rPr>
      <w:t xml:space="preserve">Dictamen de evaluación · Junio 2026 · pág.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8E4" w:sz="6" w:space="6"/>
      </w:pBdr>
      <w:tabs>
        <w:tab w:val="right" w:pos="9026"/>
      </w:tabs>
    </w:pPr>
    <w:r>
      <w:rPr>
        <w:color w:val="6B7280"/>
        <w:sz w:val="16"/>
        <w:szCs w:val="16"/>
      </w:rPr>
      <w:t xml:space="preserve">Evaluación independiente · Tesis Proyecto PAC</w:t>
    </w:r>
    <w:r>
      <w:rPr>
        <w:i/>
        <w:iCs/>
        <w:color w:val="6B7280"/>
        <w:sz w:val="16"/>
        <w:szCs w:val="16"/>
      </w:rPr>
      <w:t xml:space="preserve">	Universidad Austral — Maestría en Explotación de Datos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ptos" w:cs="Aptos" w:eastAsia="Aptos" w:hAnsi="Aptos"/>
      <w:b/>
      <w:bCs/>
      <w:color w:val="1E3A5F"/>
      <w:sz w:val="26"/>
      <w:szCs w:val="26"/>
    </w:rPr>
  </w:style>
  <w:style w:type="paragraph" w:styleId="Heading2">
    <w:name w:val="Heading 2"/>
    <w:basedOn w:val="Normal"/>
    <w:next w:val="Normal"/>
    <w:qFormat/>
    <w:pPr>
      <w:spacing w:after="100" w:before="200"/>
      <w:outlineLvl w:val="1"/>
    </w:pPr>
    <w:rPr>
      <w:rFonts w:ascii="Aptos" w:cs="Aptos" w:eastAsia="Aptos" w:hAnsi="Aptos"/>
      <w:b/>
      <w:bCs/>
      <w:color w:val="1E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2026-06-07T18:24:37.902Z</dcterms:created>
  <dcterms:modified xsi:type="dcterms:W3CDTF">2026-06-07T18:24:37.903Z</dcterms:modified>
</cp:coreProperties>
</file>

<file path=docProps/custom.xml><?xml version="1.0" encoding="utf-8"?>
<Properties xmlns="http://schemas.openxmlformats.org/officeDocument/2006/custom-properties" xmlns:vt="http://schemas.openxmlformats.org/officeDocument/2006/docPropsVTypes"/>
</file>