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UNIVERSIDAD AUSTRAL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Maestría en Explotación de Datos y Gestión del Conocimiento</w:t>
      </w:r>
    </w:p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Proyecto APNEA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Reporte de Estado — Tesis lista para redactar</w:t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Alumno: Roberto Inza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Pipeline: PAC_v2 · Gold v1.2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Mayo 2026</w:t>
      </w:r>
    </w:p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✅  VEREDICTO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Todo el contenido científico está producido y validado. La tesis se puede escribir ahora. Lo único que falta es redactar el documento siguiendo el template del Austral.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Corpus del Proyecto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dataset consolida registros domiciliarios de oximetría, frecuencia cardíaca y movimiento de 12 pacientes con sospecha de trastornos respiratorios del sueño. La arquitectura medallion Bronze→Silver→Gold produce tablas reproducibles a partir de archivos .xlsx originales.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Pacientes (total)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 —  11 hombres / 1 mujer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Pacientes cohorte strict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 (crit.: ≥10 noches in_quality)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Noches analizadas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560 noches in_quality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Noches cohorte strict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540 noches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EDOs detectados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85 286 eventos (full)  ·  83 672 (strict)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Morfotipos severos (C4+C5)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5 122 eventos  ≈  6.1 % del total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Señal fisiología total (TST)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3 248 horas  ≈  135 días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Resolución temporal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Hz — SpO₂ / FC / Movimiento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Parquets Gold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parquets  (5 core + 6 analíticos)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Features por noche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147 columnas en nights.parquet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Ventanas de estado (3 escalas)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518 867 ventanas  S/M/L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Modelos en producción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pkl  (morfotipos + PAC states + LGBM + LR)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 automatizados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 tests  —  ≈ 25 s ejecución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Streamlit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Operativa  —  5 tabs + Risk Score + informe 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 Perfil clínico de la cohorte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Distribución AASM por ODI3 (560 noches). El dataset refleja la procedencia clínica: pacientes referidos por sospecha de apnea, con dominancia de categorías Leve–Moderado.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Categoría AASM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Umbral ODI3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 noches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ev/h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5.2 %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 – 15 ev/h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46.2 %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 – 30 ev/h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38.9 %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30 ev/h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9.6 %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ODI3 global (media ± DE)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 ± 14.1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mediana: 14.6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Notebooks NB00–NB08 (todos completos)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9 notebooks operan exclusivamente sobre las tablas Gold. No modifican datos; son documentos de análisis exploratorio-confirmatorio con hipótesis, resultados negativos, visualizaciones intermedias y decisiones justificadas. El flujo es unidireccional con acumulación de features.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3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Nombre</w:t>
            </w:r>
          </w:p>
        </w:tc>
        <w:tc>
          <w:tcPr>
            <w:tcW w:type="dxa" w:w="3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Hallazgo clave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Métrica principal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Definición de Cohortes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Exclusión de 4 pacientes con &lt;10 noches; ICC HB₃ mejora de 0.41 → 0.66 con cohorte strict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cohort_full / cohort_strict flags en Gold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Morfología de EDOs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K=5 validado (silhouette 0.386 vs K=4=0.381); C5 tiene la caída más profunda y ARI más bajo — agotamiento autonómico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 morfotipos C1–C5; ICC C2=0.684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IRD / ARI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de escala en IRD (MOV domina 98.5 %). ARI = delta_HR / drop_pct es ortogonal a ODI3 (ρ=0.034)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ARI ortogonal; IRD_v2 percentil-norm.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Índices de noche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50 features nocturnas; frac_c1 y frac_c2 tienen |ρ|=0.62 con ODI3; 7 pares redundantes identificados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50 features; r²_within análisis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 States × Morfotipos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Cramér’s V: S=0.382, M=0.289, L=0.182. Escalas complementarias. S capta mejor el contexto del evento individual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3 escalas S/M/L; K=6/8/6 estados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NB05A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Acoplamiento EDO–Estado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 evento severo en estado patológico ≈11× en las 3 escalas. Resiliencia post-evento a escala L = 1.7 %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Coupling index ci_m; trayectorias K=3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NB05B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LOPO-CV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 States = top predictor de severidad AASM. Features no supervisadas superan a índices clísticos establecidos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Bal. acc media 0.549 (8 folds)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Predictivo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LGBM evento AUC=0.887 (AP 7.2× baseline). LR noche AUC=0.911 supera a RF. Risk Score 0–100 calibrado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AUC evento 0.887 / noche 0.911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Predicción EDOs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 del próximo evento anticipable desde contexto PAC previo. Baja varianza inter-paciente en LOPO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AUC binario 0.905 ± 0.038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NB08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H=5 min es el óptimo clínico: 1 de cada 5 alertas corresponde a evento real C4/C5; robustez inter-paciente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AUC 0.821 a 5 min; PPV=20.1 %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Estructura Propuesta de la Tesis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tesis sigue el template del Austral (interlineado simple, texto justificado, ~15–20 páginas de plan de TF como base). Los capítulos se mapean directamente a los notebooks y documentos ya producidos. El contenido científico está → sólo falta redactar el documento formal.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8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Título del capítulo</w:t>
            </w:r>
          </w:p>
        </w:tc>
        <w:tc>
          <w:tcPr>
            <w:tcW w:type="dxa" w:w="1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Estado</w:t>
            </w:r>
          </w:p>
        </w:tc>
        <w:tc>
          <w:tcPr>
            <w:tcW w:type="dxa" w:w="2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Fuente principal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LISTO 90 %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Plan TF v01 — Problema, Solución, Objetivo, Aplicaciones ya redactados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Marco Teórico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BORRADOR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SAOS, oximetría domiciliaria, series temporales biomédicas, ML clínico · ~40 refs en Plan TF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Materiales y Metodología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LISTO 80 %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Maestro 01 (Pipeline) + ETAPAS.md + clinical.csv — cohorte, señales, arquitectura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Fenotipado Morfológico y ARI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LISTO 95 %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NB01+NB02 · Paper T1 v9 · 8 figuras disponibles — C1–C5, bug IRD, ARI ortogonal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Estructura Temporal: PAC States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REDACTAR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NB03+NB04 · Maestro 02 · 20 figuras — 3 escalas S/M/L, Cramér’s V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Acoplamiento EDO–Estado y Predicción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REDACTAR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NB05A/B+NB06+NB07 · RR≈11×, LOPO-CV, LGBM/LR, Risk Score · 25 figuras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 para Estimulación Transcutánea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REDACTAR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NB08 · Informe NB08 · 6 figuras — AUC=0.821 a 5 min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Trabajos Relacionados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BORRADOR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Sección en Plan TF v01 + Marco Publicaciones PAC_v2 + bibliografía 40 refs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Cap. 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Conclusiones y Trabajo Futuro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REDACTAR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Sección hallazgo central Maestro 02 + limitaciones documentadas en README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Hallazgos Clave de la Tesis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siguientes son los resultados principales que sostienen la narrativa central del trabajo: la apnea del sueño no depende sólo de cuántos eventos ocurren, sino de cómo ocurren, en qué contexto aparecen y cómo responde el organismo a ellos.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Morfología de los EDOs (NB01–NB02)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Morfotipos C1–C5: </w:t>
      </w:r>
      <w:r>
        <w:rPr>
          <w:rFonts w:ascii="Arial" w:cs="Arial" w:eastAsia="Arial" w:hAnsi="Arial"/>
          <w:sz w:val="22"/>
          <w:szCs w:val="22"/>
        </w:rPr>
        <w:t xml:space="preserve">Cinco morfotipos reproducibles (C1–C5) identificados mediante K-Means sobre 30 puntos de curva SpO₂. Silhouette K=5=0.386 &gt; K=4=0.381.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C4+C5 representan el 6.1 % de los eventos pero concentran desproporcionadamente la carga hipóxica acumulada de la noche.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Bug crítico en el IRD: el componente MOV domina el 98.5 % del índice por diferencia de escala. Documentado y corregido en IRD_v2.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ARI (Autonomic Response Index) = ΔHR / drop_pct. Ortogonal a ODI3 (ρ=0.034, p&lt;10⁻²³). Mide eficiencia de respuesta autonómica, no severidad.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Los eventos C5 tienen el ARI más bajo — posible evidencia de agotamiento autonómico en los eventos más críticos.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PAC States multiescala (NB03–NB04)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Sistema de estados dinámicos a 3 escalas: S=30s (K=6), M=5min (K=8), L=30min (K=6). Cada escala captura una dimensión fisiológica diferente.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Asociación morfotipo × estado: Cramér’s V = 0.382 (S), 0.289 (M), 0.182 (L). Escalas complementarias, no redundantes.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Matriz nocturna de 26 features dinámicas (fracciones de estado + entropía + transiciones por escala).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PCA multiescala: PC1 explica 29.2 % (loadings: frac_m_M7, pct_severe); PC2=25.3 %.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Acoplamiento EDO–Estado (NB05A)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RR de evento severo en estado patológico ≈11× en las 3 escalas. Consistencia entre escalas = evidencia de validez biológica.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Hallazgo central: </w:t>
      </w:r>
      <w:r>
        <w:rPr>
          <w:rFonts w:ascii="Arial" w:cs="Arial" w:eastAsia="Arial" w:hAnsi="Arial"/>
          <w:sz w:val="22"/>
          <w:szCs w:val="22"/>
        </w:rPr>
        <w:t xml:space="preserve">Resiliencia post-evento a escala L = 1.7 %: una vez que la noche entra en un bloque de 30 min patológico, prácticamente no hay retorno.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Análisis Markoviano: corredores de vulnerabilidad M6→M0→M5 y M2→M5 con mayor riesgo.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Trayectorias nocturnas K=3: Estable-Protector (~50 %), Carga Intermedia (~35 %), Carga Hipóxica Alta (~15 %).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Validación y Modelos Predictivos (NB05B–NB07)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central NB05B: </w:t>
      </w:r>
      <w:r>
        <w:rPr>
          <w:rFonts w:ascii="Arial" w:cs="Arial" w:eastAsia="Arial" w:hAnsi="Arial"/>
          <w:sz w:val="22"/>
          <w:szCs w:val="22"/>
        </w:rPr>
        <w:t xml:space="preserve">PAC States = grupo de features más predictivo de severidad AASM en LOPO-CV. Supera a índices clísticos establecidos (ODI3, T90).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LGBM evento (NB06): AUC=0.887 LOPO-CV. Average Precision 7.2× sobre baseline aleatorio con 5.22 % de positivos.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LR noche (NB06): AUC=0.911 LOPO-CV, supera a Random Forest (0.874). La relación features nocturnas → riesgo es aproximadamente lineal.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Risk Score 0–100: calibrado y con separación monótonica por categoría AASM. Medianas: Normal&lt;30, Leve 30–45, Moderado 45–65, Severo&gt;65.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Predicción severidad del próximo EDO (NB07): AUC=0.905 ± 0.038 LOPO-CV. La severidad es anticipable desde el contexto PAC previo.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4.5 Lead Time para Estimulación Transcutánea (NB08)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452 955 ventanas de 30s analizadas. Prevalencia media de evento severo en horizonte de 5 min: 8 %.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H=5 min: AUC=0.821, Sensibilidad=0.76, Especificidad=0.74, PPV=20.1 %. De cada 5 alertas, 1 corresponde a evento real C4/C5.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horizonte óptimo para estimulación transcutánea es H=5 min: margen suficiente para activar el dispositivo con AUC robusto.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mayor horizonte (10–15 min), el PPV sube (hasta 35.4 %) pero el AUC baja — la predicción es menos discriminativa pero más precisa en sus alertas.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Marco de Publicaciones (4 Papers)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8 notebooks se organizan en cuatro artículos propuestos. Cada uno responde una pregunta científica distinta y puede publicarse de forma independiente, aunque comparten la misma cohorte y pipeline. Existe dependencia lógica: cada paper asume los resultados del anterior.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60"/>
        <w:gridCol w:w="2400"/>
        <w:gridCol w:w="24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Paper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Nombre</w:t>
            </w:r>
          </w:p>
        </w:tc>
        <w:tc>
          <w:tcPr>
            <w:tcW w:type="dxa" w:w="16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Pregunta central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Morfología + ARI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NB01+NB02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¿Existen morfotipos distinguibles y se asocian con respuesta autonómica?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v9 — listo para enviar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 States multiescala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NB03+NB04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organiza el sueño en estados multiscala y qué propiedades tienen?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Post-tesis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Acoplamiento + Predicción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NB05+NB06+NB07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asocian estados PAC y severidad? ¿Son predictivos?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Post-tesis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NB08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¿Con cuánta antelación puede predecirse un EDO severo?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Post-tesis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Artefactos, Figuras y Documentación Disponible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 Figuras generadas por notebook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62 figuras listas en notebooks/figuras/. Reproducibles re-ejecutando cada notebook sobre Gold vigente.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NB01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NB02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NB03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figuras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figuras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figuras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figuras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NB05A/B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NB06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NB07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NB08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figuras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figuras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(integrado NB06)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figuras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 Modelos en producción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Morfotipos curva (K=5)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edo_morphotype_curve_kmeans.pkl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Morfotipos scalar (K=4)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edo_morphotype_kmeans.pkl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 States escala S (K=6)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pac_states_s_kmeans.pkl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 States escala M (K=8)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pac_states_m_kmeans.pkl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 States escala L (K=6)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pac_states_l_kmeans.pkl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Predictor evento (LGBM)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nb06_event_lgbm.pkl  —  AUC=0.887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Clasificador noche (LR)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nb06_night_lr.pkl  —  AUC=0.911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Configuración de producción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nb06_config.json (umbrales, pesos, features)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 Documentación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README.md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Punto de entrada: qué es PAC_v2 y cómo arrancar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PAC_v2_ETAPAS.md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Bitácora por etapa: decisiones de diseño con evidencia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Maestro 01 — Pipeline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ETL: Bronze→Silver→Gold, 8 etapas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Maestro 02 — Análisis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NB00–NB08: diseño, resultados, aprendizajes. Es el borrador de la tesis.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Paper T1 v9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Fenotipado morfológico + ARI — listo para enviar a journal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Marco Publicaciones PAC_v2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papers propuestos con hipótesis y resultados principales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Informe NB08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Time para estimulación transcutánea — informe clínico completo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MANIFEST.json (Gold)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Trazabilidad: SHA256 + counts de los 11 parquets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Próximos Pasos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tiene todo el contenido científico producido. El único paso pendiente es la redacción del documento de tesis siguiendo el template del Austral. Se sugiere el siguiente orden de trabajo: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Trasladar Cap. 1 (Introducción) desde Plan TF v01 — 90 % ya redactado. Ajustar al template Austral.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Redactar Cap. 3 (Metodología) desde Maestro 01 + ETAPAS.md. Cohorte, pipeline, señales.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Trasladar Cap. 4 (Morfología + ARI) desde Paper T1 v9. Ya está en formato artículo, adaptar a tesis.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Redactar Cap. 5 (PAC States) desde Maestro 02 sección NB03–NB04.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Redactar Cap. 6 (Acoplamiento + Predicción) desde Maestro 02 sección NB05–NB07.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Redactar Cap. 7 (Lead Time) desde Maestro 02 + Informe NB08.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Completar Cap. 2 (Marco Teórico) y Cap. 8 (Trabajos Relacionados).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Redactar Cap. 9 (Conclusiones) sintetizando hallazgo central del Maestro 02.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9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Insertar figuras seleccionadas de notebooks/figuras/ en los capítulos correspondientes.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 10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Ensamblar, revisar coherencia narrativa, formatear según template Austral (interlineado simple).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Narrativa central de la tesis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PAC_v2 propone un cambio conceptual: la apnea del sueño no depende sólo de cuántos eventos ocurren, sino también de cómo ocurren, en qué contexto aparecen y cómo responde el organismo a ellos. La noche pasa a interpretarse como un sistema dinámico complejo cuya estructura temporal contiene información clave para comprender riesgo, vulnerabilidad y heterogeneidad clínica.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before="80"/>
        <w:jc w:val="right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Reporte generado: Mayo 2026  ·  PAC_v2 v1.2-tesis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PAC_v2 — Reporte de Estado para la Tesis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2026-05-20T13:26:27.357Z</dcterms:created>
  <dcterms:modified xsi:type="dcterms:W3CDTF">2026-05-20T13:26:27.357Z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