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F9E8" w14:textId="781F1D3C" w:rsidR="00622466" w:rsidRDefault="009D1C80" w:rsidP="008968EB">
      <w:pPr>
        <w:spacing w:after="240" w:line="360" w:lineRule="auto"/>
        <w:jc w:val="center"/>
      </w:pPr>
      <w:r>
        <w:rPr>
          <w:b/>
          <w:bCs/>
        </w:rPr>
        <w:t>REFERENCIAS DE PUBLICACIÓN</w:t>
      </w:r>
    </w:p>
    <w:p w14:paraId="46072062" w14:textId="77777777" w:rsidR="00622466" w:rsidRDefault="00000000" w:rsidP="008968EB">
      <w:pPr>
        <w:spacing w:before="120" w:after="60" w:line="360" w:lineRule="auto"/>
        <w:jc w:val="both"/>
      </w:pPr>
      <w:r>
        <w:rPr>
          <w:b/>
          <w:bCs/>
        </w:rPr>
        <w:t>Título (español):</w:t>
      </w:r>
    </w:p>
    <w:p w14:paraId="1A72270C" w14:textId="77777777" w:rsidR="00622466" w:rsidRDefault="00000000" w:rsidP="008968EB">
      <w:pPr>
        <w:spacing w:after="120" w:line="360" w:lineRule="auto"/>
        <w:jc w:val="both"/>
      </w:pPr>
      <w:r>
        <w:t>Fenotipado morfológico y respuesta autonómica en eventos de desaturación nocturna: un enfoque basado en datos más allá de los índices clásicos</w:t>
      </w:r>
    </w:p>
    <w:p w14:paraId="1499154D" w14:textId="77777777" w:rsidR="00622466" w:rsidRDefault="00000000" w:rsidP="008968EB">
      <w:pPr>
        <w:pStyle w:val="Ttulo1"/>
        <w:spacing w:line="360" w:lineRule="auto"/>
        <w:jc w:val="both"/>
      </w:pPr>
      <w:r>
        <w:t>Referencias</w:t>
      </w:r>
    </w:p>
    <w:p w14:paraId="4FD2F6CD" w14:textId="77777777" w:rsidR="00622466" w:rsidRDefault="00000000" w:rsidP="008968EB">
      <w:pPr>
        <w:spacing w:after="120" w:line="360" w:lineRule="auto"/>
        <w:jc w:val="both"/>
      </w:pPr>
      <w:r>
        <w:t>1. Young T, Palta M, Dempsey J, Skatrud J, Weber S, Badr S. The occurrence of sleep-disordered breathing among middle-aged adults. N Engl J Med. 1993;328(17):1230–1235. https://doi.org/10.1056/NEJM199304293281704</w:t>
      </w:r>
    </w:p>
    <w:p w14:paraId="6B52E96A" w14:textId="77777777" w:rsidR="00622466" w:rsidRDefault="00000000" w:rsidP="008968EB">
      <w:pPr>
        <w:spacing w:after="120" w:line="360" w:lineRule="auto"/>
        <w:jc w:val="both"/>
      </w:pPr>
      <w:r>
        <w:t>2. Peppard PE, Young T, Barnet JH, Palta M, Hagen EW, Hla KM. Increased prevalence of sleep-disordered breathing in adults. Am J Epidemiol. 2013;177(9):1006–1014. https://doi.org/10.1093/aje/kws342</w:t>
      </w:r>
    </w:p>
    <w:p w14:paraId="66D18AA1" w14:textId="77777777" w:rsidR="00622466" w:rsidRDefault="00000000" w:rsidP="008968EB">
      <w:pPr>
        <w:spacing w:after="120" w:line="360" w:lineRule="auto"/>
        <w:jc w:val="both"/>
      </w:pPr>
      <w:r>
        <w:t>3. Punjabi NM, Caffo BS, Goodwin JL, et al. Sleep-disordered breathing and mortality: a prospective cohort study. PLoS Med. 2009;6(8):e1000132. https://doi.org/10.1371/journal.pmed.1000132</w:t>
      </w:r>
    </w:p>
    <w:p w14:paraId="0FC03DC0" w14:textId="77777777" w:rsidR="00622466" w:rsidRDefault="00000000" w:rsidP="008968EB">
      <w:pPr>
        <w:spacing w:after="120" w:line="360" w:lineRule="auto"/>
        <w:jc w:val="both"/>
      </w:pPr>
      <w:r>
        <w:t>4. Berry RB, Brooks R, Gamaldo CE, et al. AASM Manual for the Scoring of Sleep and Associated Events. Version 2.6. Darien, IL: American Academy of Sleep Medicine; 2020.</w:t>
      </w:r>
    </w:p>
    <w:p w14:paraId="5D0D9A82" w14:textId="77777777" w:rsidR="00622466" w:rsidRDefault="00000000" w:rsidP="008968EB">
      <w:pPr>
        <w:spacing w:after="120" w:line="360" w:lineRule="auto"/>
        <w:jc w:val="both"/>
      </w:pPr>
      <w:r>
        <w:t>5. Azarbarzin A, Sands SA, Stone KL, et al. The hypoxic burden of sleep apnoea predicts cardiovascular disease-related mortality: the Osteoporotic Fractures in Men Study and the Sleep Heart Health Study. Eur Heart J. 2019;40(14):1149–1157. https://doi.org/10.1093/eurheartj/ehy624</w:t>
      </w:r>
    </w:p>
    <w:p w14:paraId="6DED4A0F" w14:textId="77777777" w:rsidR="00622466" w:rsidRDefault="00000000" w:rsidP="008968EB">
      <w:pPr>
        <w:spacing w:after="120" w:line="360" w:lineRule="auto"/>
        <w:jc w:val="both"/>
      </w:pPr>
      <w:r>
        <w:t>6. Marin JM, Carrizo SJ, Vicente E, Agusti AG. Long-term cardiovascular outcomes in men with obstructive sleep apnoea-hypopnoea with or without treatment with CPAP. Lancet. 2005;365(9464):1046–1053. https://doi.org/10.1016/S0140-6736(05)71141-7</w:t>
      </w:r>
    </w:p>
    <w:p w14:paraId="433F23AD" w14:textId="77777777" w:rsidR="00622466" w:rsidRDefault="00000000" w:rsidP="008968EB">
      <w:pPr>
        <w:spacing w:after="120" w:line="360" w:lineRule="auto"/>
        <w:jc w:val="both"/>
      </w:pPr>
      <w:r>
        <w:t>7. Collop NA, Anderson WM, Boehlecke B, et al. Clinical guidelines for the use of unattended portable monitors in the diagnosis of obstructive sleep apnea in adult patients. J Clin Sleep Med. 2007;3(7):737–747. https://doi.org/10.5664/jcsm.26925</w:t>
      </w:r>
    </w:p>
    <w:p w14:paraId="684871D9" w14:textId="77777777" w:rsidR="00622466" w:rsidRDefault="00000000" w:rsidP="008968EB">
      <w:pPr>
        <w:spacing w:after="120" w:line="360" w:lineRule="auto"/>
        <w:jc w:val="both"/>
      </w:pPr>
      <w:r>
        <w:t>8. Bittencourt LR, Suchecki D, Tufik S, et al. The variability of the apnoea-hypopnoea index. J Sleep Res. 2001;10(3):245–251. https://doi.org/10.1046/j.1365-2869.2001.00255.x</w:t>
      </w:r>
    </w:p>
    <w:p w14:paraId="3E446F0B" w14:textId="77777777" w:rsidR="00622466" w:rsidRDefault="00000000" w:rsidP="008968EB">
      <w:pPr>
        <w:spacing w:after="120" w:line="360" w:lineRule="auto"/>
        <w:jc w:val="both"/>
      </w:pPr>
      <w:r>
        <w:lastRenderedPageBreak/>
        <w:t>9. Levendowski DJ, Zack N, Rao S, et al. Assessment of the test-retest reliability of laboratory polysomnography. Sleep Breath. 2009;13(2):163–167. https://doi.org/10.1007/s11325-008-0214-6</w:t>
      </w:r>
    </w:p>
    <w:p w14:paraId="6264D156" w14:textId="77777777" w:rsidR="00622466" w:rsidRDefault="00000000" w:rsidP="008968EB">
      <w:pPr>
        <w:spacing w:after="120" w:line="360" w:lineRule="auto"/>
        <w:jc w:val="both"/>
      </w:pPr>
      <w:r>
        <w:t>10. Eckert DJ, White DP, Jordan AS, Malhotra A, Wellman A. Defining phenotypic causes of obstructive sleep apnea: identification of novel therapeutic targets. Am J Respir Crit Care Med. 2013;188(8):996–1004. https://doi.org/10.1164/rccm.201303-0448OC</w:t>
      </w:r>
    </w:p>
    <w:p w14:paraId="50BFB000" w14:textId="77777777" w:rsidR="00622466" w:rsidRDefault="00000000" w:rsidP="008968EB">
      <w:pPr>
        <w:spacing w:after="120" w:line="360" w:lineRule="auto"/>
        <w:jc w:val="both"/>
      </w:pPr>
      <w:r>
        <w:t>11. Ye L, Pien GW, Ratcliffe SJ, et al. The different clinical faces of obstructive sleep apnoea: a cluster analysis. Eur Respir J. 2014;44(6):1600–1607. https://doi.org/10.1183/09031936.00032314</w:t>
      </w:r>
    </w:p>
    <w:p w14:paraId="64CFCF15" w14:textId="77777777" w:rsidR="00622466" w:rsidRDefault="00000000" w:rsidP="008968EB">
      <w:pPr>
        <w:spacing w:after="120" w:line="360" w:lineRule="auto"/>
        <w:jc w:val="both"/>
      </w:pPr>
      <w:r>
        <w:t>12. Shrout PE, Fleiss JL. Intraclass correlations: uses in assessing rater reliability. Psychol Bull. 1979;86(2):420–428. https://doi.org/10.1037/0033-2909.86.2.420</w:t>
      </w:r>
    </w:p>
    <w:p w14:paraId="134845BA" w14:textId="77777777" w:rsidR="00622466" w:rsidRDefault="00000000" w:rsidP="008968EB">
      <w:pPr>
        <w:spacing w:after="120" w:line="360" w:lineRule="auto"/>
        <w:jc w:val="both"/>
      </w:pPr>
      <w:r>
        <w:t>13. Bland JM, Altman DG. Statistical methods for assessing agreement between two methods of clinical measurement. Lancet. 1986;1(8476):307–310. https://doi.org/10.1016/S0140-6736(86)90837-8</w:t>
      </w:r>
    </w:p>
    <w:p w14:paraId="56A7B607" w14:textId="77777777" w:rsidR="00622466" w:rsidRDefault="00000000" w:rsidP="008968EB">
      <w:pPr>
        <w:spacing w:after="120" w:line="360" w:lineRule="auto"/>
        <w:jc w:val="both"/>
      </w:pPr>
      <w:r>
        <w:t>14. Somers VK, Dyken ME, Mark AL, Abboud FM. Sympathetic-nerve activity during sleep in normal subjects. N Engl J Med. 1993;328(5):303–307. https://doi.org/10.1056/NEJM199302043280502</w:t>
      </w:r>
    </w:p>
    <w:p w14:paraId="7AFF12FD" w14:textId="77777777" w:rsidR="00622466" w:rsidRDefault="00000000" w:rsidP="008968EB">
      <w:pPr>
        <w:spacing w:after="120" w:line="360" w:lineRule="auto"/>
        <w:jc w:val="both"/>
      </w:pPr>
      <w:r>
        <w:t>15. Dempsey JA, Veasey SC, Morgan BJ, O’Donnell CP. Pathophysiology of sleep apnea. Physiol Rev. 2010;90(1):47–112. https://doi.org/10.1152/physrev.00043.2008</w:t>
      </w:r>
    </w:p>
    <w:p w14:paraId="26887C0F" w14:textId="77777777" w:rsidR="00622466" w:rsidRDefault="00000000" w:rsidP="008968EB">
      <w:pPr>
        <w:spacing w:after="120" w:line="360" w:lineRule="auto"/>
        <w:jc w:val="both"/>
      </w:pPr>
      <w:r>
        <w:t>16. Shamsuzzaman AS, Gersh BJ, Somers VK. Obstructive sleep apnea: implications for cardiac and vascular disease. JAMA. 2003;290(14):1906–1914. https://doi.org/10.1001/jama.290.14.1906</w:t>
      </w:r>
    </w:p>
    <w:p w14:paraId="5D0C0092" w14:textId="77777777" w:rsidR="00622466" w:rsidRDefault="00000000" w:rsidP="008968EB">
      <w:pPr>
        <w:spacing w:after="120" w:line="360" w:lineRule="auto"/>
        <w:jc w:val="both"/>
      </w:pPr>
      <w:r>
        <w:t>17. Narkiewicz K, Somers VK. Sympathetic nerve activity in obstructive sleep apnoea. Acta Physiol Scand. 2003;177(3):385–390. https://doi.org/10.1046/j.1365-201X.2003.01091.x</w:t>
      </w:r>
    </w:p>
    <w:p w14:paraId="307ED8ED" w14:textId="77777777" w:rsidR="00622466" w:rsidRDefault="00000000" w:rsidP="008968EB">
      <w:pPr>
        <w:spacing w:after="120" w:line="360" w:lineRule="auto"/>
        <w:jc w:val="both"/>
      </w:pPr>
      <w:r>
        <w:t>18. Zinchuk AV, Yaggi HK. Phenotypic subtypes of OSA: a challenge and opportunity for precision medicine. Chest. 2020;157(2):403–420. https://doi.org/10.1016/j.chest.2019.09.002</w:t>
      </w:r>
    </w:p>
    <w:p w14:paraId="0D54C78E" w14:textId="77777777" w:rsidR="00622466" w:rsidRDefault="00000000" w:rsidP="008968EB">
      <w:pPr>
        <w:spacing w:after="120" w:line="360" w:lineRule="auto"/>
        <w:jc w:val="both"/>
      </w:pPr>
      <w:r>
        <w:t>19. Kohler M, Stradling JR. Mechanisms of vascular damage in obstructive sleep apnea. Nat Rev Cardiol. 2010;7(12):677–685. https://doi.org/10.1038/nrcardio.2010.145</w:t>
      </w:r>
    </w:p>
    <w:p w14:paraId="087842B2" w14:textId="77777777" w:rsidR="00622466" w:rsidRDefault="00000000" w:rsidP="008968EB">
      <w:pPr>
        <w:spacing w:after="120" w:line="360" w:lineRule="auto"/>
        <w:jc w:val="both"/>
      </w:pPr>
      <w:r>
        <w:lastRenderedPageBreak/>
        <w:t>20. Narkiewicz K, Somers VK, Montano N, et al. Contribution of tonic chemoreflex activation to sympathetic activity and blood pressure in patients with obstructive sleep apnea. Circulation. 1998;97(10):943–945. https://doi.org/10.1161/01.cir.97.10.943</w:t>
      </w:r>
    </w:p>
    <w:p w14:paraId="08A34B4F" w14:textId="77777777" w:rsidR="00622466" w:rsidRDefault="00000000" w:rsidP="008968EB">
      <w:pPr>
        <w:spacing w:after="120" w:line="360" w:lineRule="auto"/>
        <w:jc w:val="both"/>
      </w:pPr>
      <w:r>
        <w:t>21. Bailly S, Destors M, Grillet Y, et al. Obstructive sleep apnea: a cluster analysis at time of diagnosis. PLoS One. 2016;11(6):e0157318. https://doi.org/10.1371/journal.pone.0157318</w:t>
      </w:r>
    </w:p>
    <w:p w14:paraId="7B8CC25A" w14:textId="77777777" w:rsidR="00622466" w:rsidRDefault="00000000" w:rsidP="008968EB">
      <w:pPr>
        <w:spacing w:after="120" w:line="360" w:lineRule="auto"/>
        <w:jc w:val="both"/>
      </w:pPr>
      <w:r>
        <w:t>22. Gabryelska A, Szmyd B, Szemraj J, Stawski R, Sochal M, Białasiewicz P. Patients with obstructive sleep apnea present with chronic upregulation of serum HIF-1α protein. J Clin Sleep Med. 2020;16(10):1761–1768. https://doi.org/10.5664/jcsm.8682</w:t>
      </w:r>
    </w:p>
    <w:p w14:paraId="620900C9" w14:textId="77777777" w:rsidR="00622466" w:rsidRDefault="00000000" w:rsidP="008968EB">
      <w:pPr>
        <w:spacing w:after="120" w:line="360" w:lineRule="auto"/>
        <w:jc w:val="both"/>
      </w:pPr>
      <w:r>
        <w:t>23. Kapur VK, Auckley DH, Chowdhuri S, et al. Clinical practice guideline for diagnostic testing for adult obstructive sleep apnea. J Clin Sleep Med. 2017;13(3):479–504. https://doi.org/10.5664/jcsm.6506</w:t>
      </w:r>
    </w:p>
    <w:sectPr w:rsidR="006224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5FFC"/>
    <w:multiLevelType w:val="hybridMultilevel"/>
    <w:tmpl w:val="18467350"/>
    <w:lvl w:ilvl="0" w:tplc="4E743AFC">
      <w:start w:val="1"/>
      <w:numFmt w:val="bullet"/>
      <w:lvlText w:val="●"/>
      <w:lvlJc w:val="left"/>
      <w:pPr>
        <w:ind w:left="720" w:hanging="360"/>
      </w:pPr>
    </w:lvl>
    <w:lvl w:ilvl="1" w:tplc="3B70CAAC">
      <w:start w:val="1"/>
      <w:numFmt w:val="bullet"/>
      <w:lvlText w:val="○"/>
      <w:lvlJc w:val="left"/>
      <w:pPr>
        <w:ind w:left="1440" w:hanging="360"/>
      </w:pPr>
    </w:lvl>
    <w:lvl w:ilvl="2" w:tplc="A0901BEC">
      <w:start w:val="1"/>
      <w:numFmt w:val="bullet"/>
      <w:lvlText w:val="■"/>
      <w:lvlJc w:val="left"/>
      <w:pPr>
        <w:ind w:left="2160" w:hanging="360"/>
      </w:pPr>
    </w:lvl>
    <w:lvl w:ilvl="3" w:tplc="86CA669A">
      <w:start w:val="1"/>
      <w:numFmt w:val="bullet"/>
      <w:lvlText w:val="●"/>
      <w:lvlJc w:val="left"/>
      <w:pPr>
        <w:ind w:left="2880" w:hanging="360"/>
      </w:pPr>
    </w:lvl>
    <w:lvl w:ilvl="4" w:tplc="A18024A8">
      <w:start w:val="1"/>
      <w:numFmt w:val="bullet"/>
      <w:lvlText w:val="○"/>
      <w:lvlJc w:val="left"/>
      <w:pPr>
        <w:ind w:left="3600" w:hanging="360"/>
      </w:pPr>
    </w:lvl>
    <w:lvl w:ilvl="5" w:tplc="B43AA30E">
      <w:start w:val="1"/>
      <w:numFmt w:val="bullet"/>
      <w:lvlText w:val="■"/>
      <w:lvlJc w:val="left"/>
      <w:pPr>
        <w:ind w:left="4320" w:hanging="360"/>
      </w:pPr>
    </w:lvl>
    <w:lvl w:ilvl="6" w:tplc="011E5ECC">
      <w:start w:val="1"/>
      <w:numFmt w:val="bullet"/>
      <w:lvlText w:val="●"/>
      <w:lvlJc w:val="left"/>
      <w:pPr>
        <w:ind w:left="5040" w:hanging="360"/>
      </w:pPr>
    </w:lvl>
    <w:lvl w:ilvl="7" w:tplc="55B2E09A">
      <w:start w:val="1"/>
      <w:numFmt w:val="bullet"/>
      <w:lvlText w:val="●"/>
      <w:lvlJc w:val="left"/>
      <w:pPr>
        <w:ind w:left="5760" w:hanging="360"/>
      </w:pPr>
    </w:lvl>
    <w:lvl w:ilvl="8" w:tplc="08087A3C">
      <w:start w:val="1"/>
      <w:numFmt w:val="bullet"/>
      <w:lvlText w:val="●"/>
      <w:lvlJc w:val="left"/>
      <w:pPr>
        <w:ind w:left="6480" w:hanging="360"/>
      </w:pPr>
    </w:lvl>
  </w:abstractNum>
  <w:num w:numId="1" w16cid:durableId="1663728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466"/>
    <w:rsid w:val="0044129A"/>
    <w:rsid w:val="00622466"/>
    <w:rsid w:val="008968EB"/>
    <w:rsid w:val="009D1C80"/>
    <w:rsid w:val="00A0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2F7C776"/>
  <w15:docId w15:val="{168C4207-DB9F-6244-9363-34F7125E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4132</Characters>
  <Application>Microsoft Office Word</Application>
  <DocSecurity>0</DocSecurity>
  <Lines>82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</cp:revision>
  <dcterms:created xsi:type="dcterms:W3CDTF">2026-05-22T18:53:00Z</dcterms:created>
  <dcterms:modified xsi:type="dcterms:W3CDTF">2026-05-22T18:54:00Z</dcterms:modified>
</cp:coreProperties>
</file>