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F0C9D" w:rsidRPr="008A5F4B" w:rsidRDefault="00000000" w:rsidP="008A5F4B">
      <w:pPr>
        <w:spacing w:after="240" w:line="360" w:lineRule="auto"/>
        <w:jc w:val="both"/>
      </w:pPr>
      <w:r w:rsidRPr="008A5F4B">
        <w:rPr>
          <w:b/>
          <w:bCs/>
        </w:rPr>
        <w:t>CARÁTULA DE PRESENTACIÓN</w:t>
      </w:r>
    </w:p>
    <w:p w14:paraId="00000002" w14:textId="77777777" w:rsidR="006F0C9D" w:rsidRPr="008A5F4B" w:rsidRDefault="00000000" w:rsidP="008A5F4B">
      <w:pPr>
        <w:spacing w:before="120" w:after="60" w:line="360" w:lineRule="auto"/>
        <w:jc w:val="both"/>
      </w:pPr>
      <w:r w:rsidRPr="008A5F4B">
        <w:rPr>
          <w:b/>
          <w:bCs/>
        </w:rPr>
        <w:t>Título (español):</w:t>
      </w:r>
    </w:p>
    <w:p w14:paraId="00000003" w14:textId="77777777" w:rsidR="006F0C9D" w:rsidRPr="008A5F4B" w:rsidRDefault="00000000" w:rsidP="008A5F4B">
      <w:pPr>
        <w:spacing w:after="120" w:line="360" w:lineRule="auto"/>
        <w:jc w:val="both"/>
      </w:pPr>
      <w:sdt>
        <w:sdtPr>
          <w:tag w:val="goog_rdk_0"/>
          <w:id w:val="-593712035"/>
        </w:sdtPr>
        <w:sdtContent/>
      </w:sdt>
      <w:r w:rsidRPr="008A5F4B">
        <w:t>Fenotipado morfológico y respuesta autonómica en eventos de desaturación de oxígeno nocturna: un enfoque basado en datos más allá de los índices clásicos</w:t>
      </w:r>
    </w:p>
    <w:p w14:paraId="00000004" w14:textId="77777777" w:rsidR="006F0C9D" w:rsidRPr="008A5F4B" w:rsidRDefault="006F0C9D" w:rsidP="008A5F4B">
      <w:pPr>
        <w:spacing w:line="360" w:lineRule="auto"/>
        <w:jc w:val="both"/>
      </w:pPr>
    </w:p>
    <w:p w14:paraId="00000005" w14:textId="77777777" w:rsidR="006F0C9D" w:rsidRPr="008A5F4B" w:rsidRDefault="00000000" w:rsidP="008A5F4B">
      <w:pPr>
        <w:spacing w:before="120" w:after="60" w:line="360" w:lineRule="auto"/>
        <w:jc w:val="both"/>
      </w:pPr>
      <w:r w:rsidRPr="008A5F4B">
        <w:rPr>
          <w:b/>
          <w:bCs/>
        </w:rPr>
        <w:t>Title (English):</w:t>
      </w:r>
    </w:p>
    <w:p w14:paraId="00000006" w14:textId="77777777" w:rsidR="006F0C9D" w:rsidRPr="008A5F4B" w:rsidRDefault="00000000" w:rsidP="008A5F4B">
      <w:pPr>
        <w:spacing w:after="120" w:line="360" w:lineRule="auto"/>
        <w:jc w:val="both"/>
      </w:pPr>
      <w:r w:rsidRPr="008A5F4B">
        <w:t>Data-driven morphotyping of nocturnal oxygen desaturation events reveals distinct autonomic response phenotypes beyond traditional severity indices</w:t>
      </w:r>
    </w:p>
    <w:p w14:paraId="00000007" w14:textId="77777777" w:rsidR="006F0C9D" w:rsidRPr="008A5F4B" w:rsidRDefault="006F0C9D" w:rsidP="008A5F4B">
      <w:pPr>
        <w:spacing w:line="360" w:lineRule="auto"/>
        <w:jc w:val="both"/>
      </w:pPr>
    </w:p>
    <w:p w14:paraId="00000008" w14:textId="77777777" w:rsidR="006F0C9D" w:rsidRPr="008A5F4B" w:rsidRDefault="00000000" w:rsidP="008A5F4B">
      <w:pPr>
        <w:spacing w:before="120" w:after="60" w:line="360" w:lineRule="auto"/>
        <w:jc w:val="both"/>
      </w:pPr>
      <w:r w:rsidRPr="008A5F4B">
        <w:rPr>
          <w:b/>
          <w:bCs/>
        </w:rPr>
        <w:t>Autores y afiliaciones:</w:t>
      </w:r>
    </w:p>
    <w:p w14:paraId="00000009" w14:textId="77777777" w:rsidR="006F0C9D" w:rsidRPr="008A5F4B" w:rsidRDefault="00000000" w:rsidP="008A5F4B">
      <w:pPr>
        <w:spacing w:after="120" w:line="360" w:lineRule="auto"/>
        <w:jc w:val="both"/>
      </w:pPr>
      <w:r w:rsidRPr="008A5F4B">
        <w:t>Dr. Diego Delía — Médico Anestesiólogo, Sanatorio Mater Dei, Departamento de Anestesiología, Buenos Aires, Argentina</w:t>
      </w:r>
    </w:p>
    <w:p w14:paraId="0000000A" w14:textId="77777777" w:rsidR="006F0C9D" w:rsidRPr="008A5F4B" w:rsidRDefault="00000000" w:rsidP="008A5F4B">
      <w:pPr>
        <w:spacing w:after="120" w:line="360" w:lineRule="auto"/>
        <w:jc w:val="both"/>
      </w:pPr>
      <w:r w:rsidRPr="008A5F4B">
        <w:t>Dr. Roberto Inza — Médico Ginecólogo, Instituto de Fertilidad y Reproducción (IFER), Buenos Aires, Argentina. Diplomado en Ciencia de Datos, UADE. Maestrando en Ciencia de Datos, Universidad Austral.</w:t>
      </w:r>
    </w:p>
    <w:p w14:paraId="0000000B" w14:textId="77777777" w:rsidR="006F0C9D" w:rsidRPr="008A5F4B" w:rsidRDefault="00000000" w:rsidP="008A5F4B">
      <w:pPr>
        <w:spacing w:after="120" w:line="360" w:lineRule="auto"/>
        <w:jc w:val="both"/>
      </w:pPr>
      <w:r w:rsidRPr="008A5F4B">
        <w:rPr>
          <w:b/>
          <w:bCs/>
        </w:rPr>
        <w:t xml:space="preserve">Contribuciones: </w:t>
      </w:r>
      <w:r w:rsidRPr="008A5F4B">
        <w:t>Dr. Delía: concepción del estudio, reclutamiento de pacientes, interpretación clínica de resultados. Dr. Inza: diseño metodológico, procesamiento y análisis de señales, desarrollo del pipeline PAC_v3, modelado estadístico, redacción del manuscrito.</w:t>
      </w:r>
    </w:p>
    <w:p w14:paraId="0000000C" w14:textId="77777777" w:rsidR="006F0C9D" w:rsidRPr="008A5F4B" w:rsidRDefault="00000000" w:rsidP="008A5F4B">
      <w:pPr>
        <w:spacing w:after="120" w:line="360" w:lineRule="auto"/>
        <w:jc w:val="both"/>
      </w:pPr>
      <w:r w:rsidRPr="008A5F4B">
        <w:t xml:space="preserve">Autor de correspondencia: Dr. Roberto Inza | Correo electrónico: </w:t>
      </w:r>
      <w:r w:rsidRPr="008A5F4B">
        <w:rPr>
          <w:i/>
          <w:iCs/>
        </w:rPr>
        <w:t>robertoinza@gmail.com</w:t>
      </w:r>
    </w:p>
    <w:p w14:paraId="0000000D" w14:textId="77777777" w:rsidR="006F0C9D" w:rsidRPr="008A5F4B" w:rsidRDefault="006F0C9D" w:rsidP="008A5F4B">
      <w:pPr>
        <w:spacing w:line="360" w:lineRule="auto"/>
        <w:jc w:val="both"/>
      </w:pPr>
    </w:p>
    <w:p w14:paraId="0000000E" w14:textId="77777777" w:rsidR="006F0C9D" w:rsidRPr="008A5F4B" w:rsidRDefault="00000000" w:rsidP="008A5F4B">
      <w:pPr>
        <w:spacing w:before="120" w:after="60" w:line="360" w:lineRule="auto"/>
        <w:jc w:val="both"/>
      </w:pPr>
      <w:r w:rsidRPr="008A5F4B">
        <w:rPr>
          <w:b/>
          <w:bCs/>
        </w:rPr>
        <w:t>Resumen estructurado (español):</w:t>
      </w:r>
    </w:p>
    <w:p w14:paraId="0000000F" w14:textId="77777777" w:rsidR="006F0C9D" w:rsidRPr="008A5F4B" w:rsidRDefault="00000000" w:rsidP="008A5F4B">
      <w:pPr>
        <w:spacing w:after="120" w:line="360" w:lineRule="auto"/>
        <w:jc w:val="both"/>
      </w:pPr>
      <w:r w:rsidRPr="008A5F4B">
        <w:rPr>
          <w:b/>
          <w:bCs/>
        </w:rPr>
        <w:t xml:space="preserve">Introducción: </w:t>
      </w:r>
      <w:r w:rsidRPr="008A5F4B">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00000010" w14:textId="77777777" w:rsidR="006F0C9D" w:rsidRPr="008A5F4B" w:rsidRDefault="00000000" w:rsidP="008A5F4B">
      <w:pPr>
        <w:spacing w:after="120" w:line="360" w:lineRule="auto"/>
        <w:jc w:val="both"/>
      </w:pPr>
      <w:r w:rsidRPr="008A5F4B">
        <w:rPr>
          <w:b/>
          <w:bCs/>
        </w:rPr>
        <w:t xml:space="preserve">Métodos: </w:t>
      </w:r>
      <w:r w:rsidRPr="008A5F4B">
        <w:t xml:space="preserve">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w:t>
      </w:r>
      <w:r w:rsidRPr="008A5F4B">
        <w:lastRenderedPageBreak/>
        <w:t>un Índice de Respuesta Autonómica (ARI) ortogonal a la severidad hipóxica. La reproducibilidad multi-noche se evaluó mediante coeficiente de correlación intraclase (ICC) y análisis de Bland-Altman.</w:t>
      </w:r>
    </w:p>
    <w:p w14:paraId="00000011" w14:textId="77777777" w:rsidR="006F0C9D" w:rsidRPr="008A5F4B" w:rsidRDefault="00000000" w:rsidP="008A5F4B">
      <w:pPr>
        <w:spacing w:after="120" w:line="360" w:lineRule="auto"/>
        <w:jc w:val="both"/>
      </w:pPr>
      <w:r w:rsidRPr="008A5F4B">
        <w:rPr>
          <w:b/>
          <w:bCs/>
        </w:rPr>
        <w:t xml:space="preserve">Resultados: </w:t>
      </w:r>
      <w:r w:rsidRPr="008A5F4B">
        <w:t>Se identificaron cinco fenotipos morfológicos reproducibles (C1–C5) con diferencias en profundidad, dinámica temporal y respuesta autonómica. El ARI fue ortogonal a la severidad hipóxica (ρ=0.034) y diferenció noches con carga hipóxica equivalente (p&lt;0.001 para ganancia de FC). La validación multi-noche confirmó estabilidad creciente: el ICC del ODI3 escaló de 0.70 (una noche) a 0.99 (14 noches); el ARI presentó error absoluto medio por debajo del umbral operacional desde la primera noche de registro.</w:t>
      </w:r>
    </w:p>
    <w:p w14:paraId="00000012" w14:textId="77777777" w:rsidR="006F0C9D" w:rsidRPr="008A5F4B" w:rsidRDefault="00000000" w:rsidP="008A5F4B">
      <w:pPr>
        <w:spacing w:after="120" w:line="360" w:lineRule="auto"/>
        <w:jc w:val="both"/>
      </w:pPr>
      <w:r w:rsidRPr="008A5F4B">
        <w:rPr>
          <w:b/>
          <w:bCs/>
        </w:rPr>
        <w:t xml:space="preserve">Conclusión: </w:t>
      </w:r>
      <w:r w:rsidRPr="008A5F4B">
        <w:t>La heterogeneidad morfológica y la respuesta autonómica constituyen dimensiones fisiopatológicas complementarias a los índices convencionales, cuantificables mediante monitoreo ambulatorio domiciliario.</w:t>
      </w:r>
    </w:p>
    <w:p w14:paraId="00000013" w14:textId="77777777" w:rsidR="006F0C9D" w:rsidRPr="008A5F4B" w:rsidRDefault="006F0C9D" w:rsidP="008A5F4B">
      <w:pPr>
        <w:spacing w:line="360" w:lineRule="auto"/>
        <w:jc w:val="both"/>
      </w:pPr>
    </w:p>
    <w:p w14:paraId="00000014" w14:textId="77777777" w:rsidR="006F0C9D" w:rsidRPr="008A5F4B" w:rsidRDefault="00000000" w:rsidP="008A5F4B">
      <w:pPr>
        <w:spacing w:after="120" w:line="360" w:lineRule="auto"/>
        <w:jc w:val="both"/>
      </w:pPr>
      <w:r w:rsidRPr="008A5F4B">
        <w:rPr>
          <w:b/>
          <w:bCs/>
        </w:rPr>
        <w:t xml:space="preserve">Palabras clave (español): </w:t>
      </w:r>
      <w:r w:rsidRPr="008A5F4B">
        <w:t>trastornos respiratorios del sueño; fenotipado morfológico; apnea del sueño; índice de respuesta autonómica; oximetría domiciliaria; análisis basado en datos</w:t>
      </w:r>
    </w:p>
    <w:p w14:paraId="00000015" w14:textId="77777777" w:rsidR="006F0C9D" w:rsidRPr="008A5F4B" w:rsidRDefault="006F0C9D" w:rsidP="008A5F4B">
      <w:pPr>
        <w:spacing w:line="360" w:lineRule="auto"/>
        <w:jc w:val="both"/>
      </w:pPr>
    </w:p>
    <w:p w14:paraId="00000016" w14:textId="77777777" w:rsidR="006F0C9D" w:rsidRPr="008A5F4B" w:rsidRDefault="00000000" w:rsidP="008A5F4B">
      <w:pPr>
        <w:spacing w:before="120" w:after="60" w:line="360" w:lineRule="auto"/>
        <w:jc w:val="both"/>
      </w:pPr>
      <w:r w:rsidRPr="008A5F4B">
        <w:rPr>
          <w:b/>
          <w:bCs/>
        </w:rPr>
        <w:t>Structured Abstract (English):</w:t>
      </w:r>
    </w:p>
    <w:p w14:paraId="00000017" w14:textId="77777777" w:rsidR="006F0C9D" w:rsidRPr="008A5F4B" w:rsidRDefault="00000000" w:rsidP="008A5F4B">
      <w:pPr>
        <w:spacing w:after="120" w:line="360" w:lineRule="auto"/>
        <w:jc w:val="both"/>
      </w:pPr>
      <w:r w:rsidRPr="008A5F4B">
        <w:rPr>
          <w:b/>
          <w:bCs/>
        </w:rPr>
        <w:t xml:space="preserve">Introduction: </w:t>
      </w:r>
      <w:r w:rsidRPr="008A5F4B">
        <w:t>Sleep-disordered breathing is diagnosed primarily through global frequency indices such as the apnea-hypopnea index (AHI) and oxygen desaturation index (ODI), which do not capture the morphological heterogeneity of individual oxygen desaturation events (ODEs).</w:t>
      </w:r>
    </w:p>
    <w:p w14:paraId="00000018" w14:textId="77777777" w:rsidR="006F0C9D" w:rsidRPr="008A5F4B" w:rsidRDefault="00000000" w:rsidP="008A5F4B">
      <w:pPr>
        <w:spacing w:after="120" w:line="360" w:lineRule="auto"/>
        <w:jc w:val="both"/>
      </w:pPr>
      <w:r w:rsidRPr="008A5F4B">
        <w:rPr>
          <w:b/>
          <w:bCs/>
        </w:rPr>
        <w:t xml:space="preserve">Methods: </w:t>
      </w:r>
      <w:r w:rsidRPr="008A5F4B">
        <w:t>A data-driven framework was applied to characterize 85,277 ODEs from 560 home-monitoring nights across 12 patients recorded with the SOMNI 6000 device (ANMAT-approved), integrating SpO₂ 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Bland–Altman analysis.</w:t>
      </w:r>
    </w:p>
    <w:p w14:paraId="00000019" w14:textId="77777777" w:rsidR="006F0C9D" w:rsidRPr="008A5F4B" w:rsidRDefault="00000000" w:rsidP="008A5F4B">
      <w:pPr>
        <w:spacing w:after="120" w:line="360" w:lineRule="auto"/>
        <w:jc w:val="both"/>
      </w:pPr>
      <w:r w:rsidRPr="008A5F4B">
        <w:rPr>
          <w:b/>
          <w:bCs/>
        </w:rPr>
        <w:t xml:space="preserve">Results: </w:t>
      </w:r>
      <w:r w:rsidRPr="008A5F4B">
        <w:t xml:space="preserve">Five reproducible morphological phenotypes (C1–C5) were identified, differing in depth, temporal dynamics, and autonomic response. The ARI was orthogonal to hypoxic severity (ρ=0.034) and differentiated nights with equivalent hypoxic load (p&lt;0.001 for heart </w:t>
      </w:r>
      <w:r w:rsidRPr="008A5F4B">
        <w:lastRenderedPageBreak/>
        <w:t>rate gain). Multi-night validation confirmed increasing stability: ODI3 ICC scaled from 0.70 (one night) to 0.99 (</w:t>
      </w:r>
      <w:sdt>
        <w:sdtPr>
          <w:tag w:val="goog_rdk_1"/>
          <w:id w:val="641251697"/>
        </w:sdtPr>
        <w:sdtContent/>
      </w:sdt>
      <w:r w:rsidRPr="008A5F4B">
        <w:t>14 nights); ARI mean absolute error was already below the operational threshold from a single recording night.</w:t>
      </w:r>
    </w:p>
    <w:p w14:paraId="0000001A" w14:textId="77777777" w:rsidR="006F0C9D" w:rsidRPr="008A5F4B" w:rsidRDefault="00000000" w:rsidP="008A5F4B">
      <w:pPr>
        <w:spacing w:after="120" w:line="360" w:lineRule="auto"/>
        <w:jc w:val="both"/>
      </w:pPr>
      <w:r w:rsidRPr="008A5F4B">
        <w:rPr>
          <w:b/>
          <w:bCs/>
        </w:rPr>
        <w:t xml:space="preserve">Conclusion: </w:t>
      </w:r>
      <w:r w:rsidRPr="008A5F4B">
        <w:t>Morphological heterogeneity and autonomic response represent pathophysiological dimensions complementary to conventional sleep-disordered breathing indices, measurable from ambulatory home monitoring.</w:t>
      </w:r>
    </w:p>
    <w:p w14:paraId="0000001B" w14:textId="77777777" w:rsidR="006F0C9D" w:rsidRPr="008A5F4B" w:rsidRDefault="006F0C9D" w:rsidP="008A5F4B">
      <w:pPr>
        <w:spacing w:line="360" w:lineRule="auto"/>
        <w:jc w:val="both"/>
      </w:pPr>
    </w:p>
    <w:p w14:paraId="0000001C" w14:textId="7D6D3540" w:rsidR="006F0C9D" w:rsidRPr="008A5F4B" w:rsidRDefault="00000000" w:rsidP="008A5F4B">
      <w:pPr>
        <w:spacing w:after="120" w:line="360" w:lineRule="auto"/>
        <w:jc w:val="both"/>
      </w:pPr>
      <w:r w:rsidRPr="008A5F4B">
        <w:rPr>
          <w:b/>
          <w:bCs/>
        </w:rPr>
        <w:t xml:space="preserve">Keywords (English): </w:t>
      </w:r>
      <w:r w:rsidRPr="008A5F4B">
        <w:t>sleep-disordered breathing</w:t>
      </w:r>
      <w:r w:rsidR="009B310E">
        <w:t>;</w:t>
      </w:r>
      <w:r w:rsidRPr="008A5F4B">
        <w:t xml:space="preserve"> morphological phenotyping; obstructive sleep apnea; autonomic response index; home oximetry; data-driven analysis</w:t>
      </w:r>
    </w:p>
    <w:p w14:paraId="0000001D" w14:textId="77777777" w:rsidR="006F0C9D" w:rsidRPr="008A5F4B" w:rsidRDefault="006F0C9D" w:rsidP="008A5F4B">
      <w:pPr>
        <w:spacing w:line="360" w:lineRule="auto"/>
        <w:jc w:val="both"/>
      </w:pPr>
    </w:p>
    <w:p w14:paraId="0000001E" w14:textId="77777777" w:rsidR="006F0C9D" w:rsidRPr="008A5F4B" w:rsidRDefault="00000000" w:rsidP="008A5F4B">
      <w:pPr>
        <w:spacing w:after="120" w:line="360" w:lineRule="auto"/>
        <w:jc w:val="both"/>
      </w:pPr>
      <w:r w:rsidRPr="008A5F4B">
        <w:rPr>
          <w:b/>
          <w:bCs/>
        </w:rPr>
        <w:t xml:space="preserve">Declaración de conflictos de intereses: </w:t>
      </w:r>
      <w:r w:rsidRPr="008A5F4B">
        <w:t>Los autores declaran no tener conflictos de intereses relevantes en relación con el contenido de este manuscrito.</w:t>
      </w:r>
    </w:p>
    <w:p w14:paraId="0000001F" w14:textId="77777777" w:rsidR="006F0C9D" w:rsidRPr="008A5F4B" w:rsidRDefault="006F0C9D" w:rsidP="008A5F4B">
      <w:pPr>
        <w:spacing w:line="360" w:lineRule="auto"/>
        <w:jc w:val="both"/>
      </w:pPr>
    </w:p>
    <w:p w14:paraId="00000020" w14:textId="77777777" w:rsidR="006F0C9D" w:rsidRPr="008A5F4B" w:rsidRDefault="00000000" w:rsidP="008A5F4B">
      <w:pPr>
        <w:spacing w:after="120" w:line="360" w:lineRule="auto"/>
        <w:jc w:val="both"/>
      </w:pPr>
      <w:r w:rsidRPr="008A5F4B">
        <w:rPr>
          <w:b/>
          <w:bCs/>
        </w:rPr>
        <w:t xml:space="preserve">Consideraciones éticas: </w:t>
      </w:r>
      <w:r w:rsidRPr="008A5F4B">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00000021" w14:textId="77777777" w:rsidR="006F0C9D" w:rsidRPr="008A5F4B" w:rsidRDefault="006F0C9D" w:rsidP="008A5F4B">
      <w:pPr>
        <w:spacing w:line="360" w:lineRule="auto"/>
        <w:jc w:val="both"/>
      </w:pPr>
    </w:p>
    <w:p w14:paraId="00000022" w14:textId="77777777" w:rsidR="006F0C9D" w:rsidRPr="008A5F4B" w:rsidRDefault="00000000" w:rsidP="008A5F4B">
      <w:pPr>
        <w:jc w:val="both"/>
      </w:pPr>
      <w:r w:rsidRPr="008A5F4B">
        <w:br w:type="page"/>
      </w:r>
    </w:p>
    <w:p w14:paraId="00000023" w14:textId="77777777" w:rsidR="006F0C9D" w:rsidRPr="008A5F4B" w:rsidRDefault="00000000" w:rsidP="008A5F4B">
      <w:pPr>
        <w:spacing w:after="60" w:line="360" w:lineRule="auto"/>
        <w:jc w:val="both"/>
      </w:pPr>
      <w:r w:rsidRPr="008A5F4B">
        <w:rPr>
          <w:b/>
          <w:bCs/>
        </w:rPr>
        <w:lastRenderedPageBreak/>
        <w:t>TEXTO PRINCIPAL</w:t>
      </w:r>
    </w:p>
    <w:p w14:paraId="00000024" w14:textId="77777777" w:rsidR="006F0C9D" w:rsidRPr="008A5F4B" w:rsidRDefault="00000000" w:rsidP="008A5F4B">
      <w:pPr>
        <w:spacing w:after="240" w:line="360" w:lineRule="auto"/>
        <w:jc w:val="both"/>
      </w:pPr>
      <w:r w:rsidRPr="008A5F4B">
        <w:rPr>
          <w:i/>
          <w:iCs/>
        </w:rPr>
        <w:t>(Deidentificado — sin datos de autores)</w:t>
      </w:r>
    </w:p>
    <w:p w14:paraId="00000025" w14:textId="77777777" w:rsidR="006F0C9D" w:rsidRPr="008A5F4B" w:rsidRDefault="00000000" w:rsidP="008A5F4B">
      <w:pPr>
        <w:spacing w:after="60" w:line="360" w:lineRule="auto"/>
        <w:jc w:val="both"/>
      </w:pPr>
      <w:r w:rsidRPr="008A5F4B">
        <w:rPr>
          <w:b/>
          <w:bCs/>
        </w:rPr>
        <w:t xml:space="preserve">Fenotipado morfológico y respuesta autonómica en eventos de desaturación </w:t>
      </w:r>
      <w:sdt>
        <w:sdtPr>
          <w:tag w:val="goog_rdk_2"/>
          <w:id w:val="1441838659"/>
        </w:sdtPr>
        <w:sdtContent/>
      </w:sdt>
      <w:r w:rsidRPr="008A5F4B">
        <w:rPr>
          <w:b/>
          <w:bCs/>
        </w:rPr>
        <w:t>de oxígeno nocturna: un enfoque basado en datos más allá de los índices clásicos</w:t>
      </w:r>
    </w:p>
    <w:p w14:paraId="00000026" w14:textId="77777777" w:rsidR="006F0C9D" w:rsidRPr="008A5F4B" w:rsidRDefault="00000000" w:rsidP="008A5F4B">
      <w:pPr>
        <w:spacing w:after="240" w:line="360" w:lineRule="auto"/>
        <w:jc w:val="both"/>
      </w:pPr>
      <w:r w:rsidRPr="008A5F4B">
        <w:rPr>
          <w:i/>
          <w:iCs/>
        </w:rPr>
        <w:t>Data-driven morphotyping of nocturnal oxygen desaturation events reveals distinct autonomic response phenotypes beyond traditional severity indices</w:t>
      </w:r>
    </w:p>
    <w:p w14:paraId="00000027" w14:textId="77777777" w:rsidR="006F0C9D" w:rsidRPr="008A5F4B" w:rsidRDefault="00000000" w:rsidP="008A5F4B">
      <w:pPr>
        <w:pStyle w:val="Ttulo1"/>
        <w:spacing w:line="360" w:lineRule="auto"/>
        <w:jc w:val="both"/>
        <w:rPr>
          <w:color w:val="auto"/>
        </w:rPr>
      </w:pPr>
      <w:r w:rsidRPr="008A5F4B">
        <w:rPr>
          <w:color w:val="auto"/>
        </w:rPr>
        <w:t>Resumen / Abstract</w:t>
      </w:r>
    </w:p>
    <w:p w14:paraId="00000028" w14:textId="77777777" w:rsidR="006F0C9D" w:rsidRPr="008A5F4B" w:rsidRDefault="00000000" w:rsidP="008A5F4B">
      <w:pPr>
        <w:spacing w:after="120" w:line="360" w:lineRule="auto"/>
        <w:jc w:val="both"/>
      </w:pPr>
      <w:r w:rsidRPr="008A5F4B">
        <w:rPr>
          <w:b/>
          <w:bCs/>
        </w:rPr>
        <w:t xml:space="preserve">Introducción: </w:t>
      </w:r>
      <w:r w:rsidRPr="008A5F4B">
        <w:t>Los trastornos respiratorios del sueño se diagnostican principalmente mediante índices globales como el índice apnea-hipopnea (AHI) y el índice de desaturación de oxígeno (ODI), que no reflejan la heterogeneidad morfológica de los eventos individuales de desaturación de oxígeno (EDO).</w:t>
      </w:r>
    </w:p>
    <w:p w14:paraId="00000029" w14:textId="77777777" w:rsidR="006F0C9D" w:rsidRPr="008A5F4B" w:rsidRDefault="00000000" w:rsidP="008A5F4B">
      <w:pPr>
        <w:spacing w:after="120" w:line="360" w:lineRule="auto"/>
        <w:jc w:val="both"/>
      </w:pPr>
      <w:r w:rsidRPr="008A5F4B">
        <w:rPr>
          <w:b/>
          <w:bCs/>
        </w:rPr>
        <w:t xml:space="preserve">Métodos: </w:t>
      </w:r>
      <w:r w:rsidRPr="008A5F4B">
        <w:t>Se caracterizaron 85.277 EDOs provenientes de 560 noches domiciliarias de 12 pacientes registradas con el dispositivo SOMNI 6000 (aprobado por ANMAT), integrando la morfología de la curva de SpO₂ con señales de frecuencia cardíaca (FC) y movimiento (MOV), mediante análisis de componentes principales (PCA) y agrupamiento K-means. Se desarrolló un Índice de Respuesta Autonómica (ARI) ortogonal a la severidad hipóxica. La reproducibilidad multi-noche se evaluó mediante coeficiente de correlación intraclase (ICC) y análisis de Bland-Altman.</w:t>
      </w:r>
    </w:p>
    <w:p w14:paraId="0000002A" w14:textId="77777777" w:rsidR="006F0C9D" w:rsidRPr="008A5F4B" w:rsidRDefault="00000000" w:rsidP="008A5F4B">
      <w:pPr>
        <w:spacing w:after="120" w:line="360" w:lineRule="auto"/>
        <w:jc w:val="both"/>
      </w:pPr>
      <w:r w:rsidRPr="008A5F4B">
        <w:rPr>
          <w:b/>
          <w:bCs/>
        </w:rPr>
        <w:t xml:space="preserve">Resultados: </w:t>
      </w:r>
      <w:r w:rsidRPr="008A5F4B">
        <w:t>Se identificaron cinco fenotipos morfológicos reproducibles (C1–C5) con diferencias en profundidad, dinámica temporal y respuesta autonómica. El ARI fue ortogonal a la severidad hipóxica (ρ=0.034) y diferenció noches con carga hipóxica equivalente (p&lt;0.001 para ganancia de FC). El ICC del ODI3 escaló de 0.70 a 0.99 (14 noches); el ARI presentó MAE por debajo del umbral operacional desde la primera noche.</w:t>
      </w:r>
    </w:p>
    <w:p w14:paraId="0000002B" w14:textId="77777777" w:rsidR="006F0C9D" w:rsidRPr="008A5F4B" w:rsidRDefault="00000000" w:rsidP="008A5F4B">
      <w:pPr>
        <w:spacing w:after="120" w:line="360" w:lineRule="auto"/>
        <w:jc w:val="both"/>
      </w:pPr>
      <w:r w:rsidRPr="008A5F4B">
        <w:rPr>
          <w:b/>
          <w:bCs/>
        </w:rPr>
        <w:t xml:space="preserve">Conclusión: </w:t>
      </w:r>
      <w:r w:rsidRPr="008A5F4B">
        <w:t>La heterogeneidad morfológica y la respuesta autonómica constituyen dimensiones fisiopatológicas complementarias a los índices convencionales, cuantificables mediante monitoreo ambulatorio domiciliario.</w:t>
      </w:r>
    </w:p>
    <w:p w14:paraId="0000002C" w14:textId="77777777" w:rsidR="006F0C9D" w:rsidRPr="008A5F4B" w:rsidRDefault="00000000" w:rsidP="008A5F4B">
      <w:pPr>
        <w:spacing w:after="120" w:line="360" w:lineRule="auto"/>
        <w:jc w:val="both"/>
      </w:pPr>
      <w:r w:rsidRPr="008A5F4B">
        <w:rPr>
          <w:b/>
          <w:bCs/>
        </w:rPr>
        <w:t xml:space="preserve">Palabras clave: </w:t>
      </w:r>
      <w:r w:rsidRPr="008A5F4B">
        <w:t>trastornos respiratorios del sueño; fenotipado morfológico; apnea del sueño; índice de respuesta autonómica; oximetría domiciliaria; análisis basado en datos</w:t>
      </w:r>
    </w:p>
    <w:p w14:paraId="0000002D" w14:textId="77777777" w:rsidR="006F0C9D" w:rsidRPr="008A5F4B" w:rsidRDefault="006F0C9D" w:rsidP="008A5F4B">
      <w:pPr>
        <w:spacing w:line="360" w:lineRule="auto"/>
        <w:jc w:val="both"/>
      </w:pPr>
    </w:p>
    <w:p w14:paraId="0000002E" w14:textId="77777777" w:rsidR="006F0C9D" w:rsidRPr="008A5F4B" w:rsidRDefault="00000000" w:rsidP="008A5F4B">
      <w:pPr>
        <w:spacing w:after="120" w:line="360" w:lineRule="auto"/>
        <w:jc w:val="both"/>
      </w:pPr>
      <w:r w:rsidRPr="008A5F4B">
        <w:rPr>
          <w:b/>
          <w:bCs/>
        </w:rPr>
        <w:lastRenderedPageBreak/>
        <w:t xml:space="preserve">Introduction: </w:t>
      </w:r>
      <w:r w:rsidRPr="008A5F4B">
        <w:t>Sleep-disordered breathing is diagnosed primarily through global frequency indices such as the apnea-hypopnea index (AHI) and oxygen desaturation index (ODI), which do not capture the morphological heterogeneity of individual oxygen desaturation events (ODEs).</w:t>
      </w:r>
    </w:p>
    <w:p w14:paraId="0000002F" w14:textId="77777777" w:rsidR="006F0C9D" w:rsidRPr="008A5F4B" w:rsidRDefault="00000000" w:rsidP="008A5F4B">
      <w:pPr>
        <w:spacing w:after="120" w:line="360" w:lineRule="auto"/>
        <w:jc w:val="both"/>
      </w:pPr>
      <w:r w:rsidRPr="008A5F4B">
        <w:rPr>
          <w:b/>
          <w:bCs/>
        </w:rPr>
        <w:t xml:space="preserve">Methods: </w:t>
      </w:r>
      <w:r w:rsidRPr="008A5F4B">
        <w:t>A data-driven framework was applied to characterize 85,277 ODEs from 560 home-monitoring nights across 12 patients recorded with the SOMNI 6000 device (ANMAT-approved), integrating SpO₂ curve morphology with heart rate (HR) and movement (MOV) signals. PCA and K-means clustering were used for morphological phenotyping. An Autonomic Response Index (ARI), orthogonal to hypoxic severity, was developed. Multi-night reproducibility was assessed via ICC and Bland–Altman analysis.</w:t>
      </w:r>
    </w:p>
    <w:p w14:paraId="00000030" w14:textId="77777777" w:rsidR="006F0C9D" w:rsidRPr="008A5F4B" w:rsidRDefault="00000000" w:rsidP="008A5F4B">
      <w:pPr>
        <w:spacing w:after="120" w:line="360" w:lineRule="auto"/>
        <w:jc w:val="both"/>
      </w:pPr>
      <w:r w:rsidRPr="008A5F4B">
        <w:rPr>
          <w:b/>
          <w:bCs/>
        </w:rPr>
        <w:t xml:space="preserve">Results: </w:t>
      </w:r>
      <w:r w:rsidRPr="008A5F4B">
        <w:t>Five reproducible morphological phenotypes (C1–C5) were identified, differing in depth, temporal dynamics, and autonomic response. The ARI was orthogonal to hypoxic severity (ρ=0.034) and differentiated nights with equivalent hypoxic load (p&lt;0.001 for heart rate gain). ODI3 ICC scaled from 0.70 (one night) to 0.99 (14 nights); ARI mean absolute error was already below the operational threshold from a single recording night.</w:t>
      </w:r>
    </w:p>
    <w:p w14:paraId="00000031" w14:textId="77777777" w:rsidR="006F0C9D" w:rsidRPr="008A5F4B" w:rsidRDefault="00000000" w:rsidP="008A5F4B">
      <w:pPr>
        <w:spacing w:after="120" w:line="360" w:lineRule="auto"/>
        <w:jc w:val="both"/>
      </w:pPr>
      <w:r w:rsidRPr="008A5F4B">
        <w:rPr>
          <w:b/>
          <w:bCs/>
        </w:rPr>
        <w:t xml:space="preserve">Conclusion: </w:t>
      </w:r>
      <w:r w:rsidRPr="008A5F4B">
        <w:t>Morphological heterogeneity and autonomic response represent pathophysiological dimensions complementary to conventional sleep-disordered breathing indices, measurable from ambulatory home monitoring.</w:t>
      </w:r>
    </w:p>
    <w:p w14:paraId="00000032" w14:textId="77777777" w:rsidR="006F0C9D" w:rsidRPr="008A5F4B" w:rsidRDefault="00000000" w:rsidP="008A5F4B">
      <w:pPr>
        <w:spacing w:after="120" w:line="360" w:lineRule="auto"/>
        <w:jc w:val="both"/>
      </w:pPr>
      <w:r w:rsidRPr="008A5F4B">
        <w:rPr>
          <w:b/>
          <w:bCs/>
        </w:rPr>
        <w:t xml:space="preserve">Keywords: </w:t>
      </w:r>
      <w:r w:rsidRPr="008A5F4B">
        <w:t>sleep-disordered breathing; morphological phenotyping; obstructive sleep apnea; autonomic response index; home oximetry; data-driven analysis</w:t>
      </w:r>
    </w:p>
    <w:p w14:paraId="00000033" w14:textId="77777777" w:rsidR="006F0C9D" w:rsidRPr="008A5F4B" w:rsidRDefault="006F0C9D" w:rsidP="008A5F4B">
      <w:pPr>
        <w:spacing w:line="360" w:lineRule="auto"/>
        <w:jc w:val="both"/>
      </w:pPr>
    </w:p>
    <w:p w14:paraId="00000034" w14:textId="77777777" w:rsidR="006F0C9D" w:rsidRPr="008A5F4B" w:rsidRDefault="00000000" w:rsidP="008A5F4B">
      <w:pPr>
        <w:pStyle w:val="Ttulo1"/>
        <w:spacing w:line="360" w:lineRule="auto"/>
        <w:jc w:val="both"/>
        <w:rPr>
          <w:color w:val="auto"/>
        </w:rPr>
      </w:pPr>
      <w:r w:rsidRPr="008A5F4B">
        <w:rPr>
          <w:color w:val="auto"/>
        </w:rPr>
        <w:t>1. Introducción</w:t>
      </w:r>
    </w:p>
    <w:p w14:paraId="00000035" w14:textId="2D86B50B" w:rsidR="006F0C9D" w:rsidRPr="008A5F4B" w:rsidRDefault="00000000" w:rsidP="008A5F4B">
      <w:pPr>
        <w:spacing w:after="120" w:line="360" w:lineRule="auto"/>
        <w:jc w:val="both"/>
      </w:pPr>
      <w:r w:rsidRPr="008A5F4B">
        <w:t>El síndrome de apnea obstructiva del sueño (SAOS) afecta al 10–30% de la población adulta de mediana edad y constituye un factor de riesgo independiente para hipertensión, enfermedad cardiovascular, diabetes tipo 2 y mortalidad por todas las causas.</w:t>
      </w:r>
      <w:r w:rsidR="00D34F49" w:rsidRPr="00D34F49">
        <w:rPr>
          <w:vertAlign w:val="superscript"/>
        </w:rPr>
        <w:t>[</w:t>
      </w:r>
      <w:r w:rsidRPr="00D34F49">
        <w:rPr>
          <w:vertAlign w:val="superscript"/>
        </w:rPr>
        <w:t>1,2,3</w:t>
      </w:r>
      <w:r w:rsidR="00D34F49" w:rsidRPr="00D34F49">
        <w:rPr>
          <w:vertAlign w:val="superscript"/>
        </w:rPr>
        <w:t>]</w:t>
      </w:r>
      <w:r w:rsidRPr="008A5F4B">
        <w:t xml:space="preserve"> Su diagnóstico se basa desde hace décadas en el índice de apnea-hipopnea (AHI) y en métricas derivadas como el índice de desaturación de oxígeno (ODI) y el tiempo con saturación inferior al 90% (T90).</w:t>
      </w:r>
      <w:r w:rsidR="00D34F49" w:rsidRPr="00D34F49">
        <w:rPr>
          <w:vertAlign w:val="superscript"/>
        </w:rPr>
        <w:t>[</w:t>
      </w:r>
      <w:r w:rsidRPr="00D34F49">
        <w:rPr>
          <w:vertAlign w:val="superscript"/>
        </w:rPr>
        <w:t>4</w:t>
      </w:r>
      <w:r w:rsidR="00D34F49" w:rsidRPr="00D34F49">
        <w:rPr>
          <w:vertAlign w:val="superscript"/>
        </w:rPr>
        <w:t>]</w:t>
      </w:r>
      <w:r w:rsidRPr="008A5F4B">
        <w:t xml:space="preserve"> Si bien estos parámetros ofrecen una cuantificación reproducible de la carga respiratoria nocturna, presentan limitaciones conceptuales: homogenizan eventos fisiológicamente heterogéneos, perdiendo información clínicamente relevante sobre la dinámica individual de cada episodio.</w:t>
      </w:r>
    </w:p>
    <w:p w14:paraId="00000036" w14:textId="53992473" w:rsidR="006F0C9D" w:rsidRPr="008A5F4B" w:rsidRDefault="00000000" w:rsidP="008A5F4B">
      <w:pPr>
        <w:spacing w:after="120" w:line="360" w:lineRule="auto"/>
        <w:jc w:val="both"/>
      </w:pPr>
      <w:r w:rsidRPr="008A5F4B">
        <w:lastRenderedPageBreak/>
        <w:t xml:space="preserve">Desde una perspectiva fisiopatológica, no todos los eventos de desaturación </w:t>
      </w:r>
      <w:sdt>
        <w:sdtPr>
          <w:tag w:val="goog_rdk_3"/>
          <w:id w:val="1504250412"/>
        </w:sdtPr>
        <w:sdtContent/>
      </w:sdt>
      <w:r w:rsidRPr="008A5F4B">
        <w:t>de oxígeno son equivalentes. Un evento con caída de SpO₂ de 4 puntos porcentuales (pp) y recuperación rápida con taquicardia acompañante es fisiológicamente distinto de uno con caída de 15 pp, recuperación lenta y silencio autonómico; sin embargo, ambos contribuyen por igual al ODI. Esta homogeneización puede explicar, al menos en parte, por qué el AHI presenta capacidad predictiva modesta para desenlaces cardiovasculares cuando se lo analiza de forma aislada.</w:t>
      </w:r>
      <w:r w:rsidR="00D34F49" w:rsidRPr="00D34F49">
        <w:rPr>
          <w:vertAlign w:val="superscript"/>
        </w:rPr>
        <w:t>[</w:t>
      </w:r>
      <w:r w:rsidRPr="00D34F49">
        <w:rPr>
          <w:vertAlign w:val="superscript"/>
        </w:rPr>
        <w:t>5,6</w:t>
      </w:r>
      <w:r w:rsidR="00D34F49" w:rsidRPr="00D34F49">
        <w:rPr>
          <w:vertAlign w:val="superscript"/>
        </w:rPr>
        <w:t>]</w:t>
      </w:r>
    </w:p>
    <w:p w14:paraId="00000037" w14:textId="7A212E28" w:rsidR="006F0C9D" w:rsidRPr="008A5F4B" w:rsidRDefault="00000000" w:rsidP="008A5F4B">
      <w:pPr>
        <w:spacing w:after="120" w:line="360" w:lineRule="auto"/>
        <w:jc w:val="both"/>
      </w:pPr>
      <w:r w:rsidRPr="008A5F4B">
        <w:t>La carga hipóxica (</w:t>
      </w:r>
      <w:r w:rsidRPr="00D34F49">
        <w:rPr>
          <w:i/>
          <w:iCs/>
        </w:rPr>
        <w:t>hypoxic burden</w:t>
      </w:r>
      <w:r w:rsidRPr="008A5F4B">
        <w:t>), definida como el área bajo la curva de SpO₂ durante los eventos respiratorios, se ha asociado con mortalidad cardiovascular de forma independiente al AHI.5 Esta evidencia refuerza el argumento de que la dinámica temporal de cada evento contiene información clínica relevante. Los avances en monitoreo domiciliario</w:t>
      </w:r>
      <w:r w:rsidR="00D34F49" w:rsidRPr="00D34F49">
        <w:rPr>
          <w:vertAlign w:val="superscript"/>
        </w:rPr>
        <w:t>[</w:t>
      </w:r>
      <w:r w:rsidRPr="00D34F49">
        <w:rPr>
          <w:vertAlign w:val="superscript"/>
        </w:rPr>
        <w:t>7</w:t>
      </w:r>
      <w:r w:rsidR="00D34F49" w:rsidRPr="00D34F49">
        <w:rPr>
          <w:vertAlign w:val="superscript"/>
        </w:rPr>
        <w:t>]</w:t>
      </w:r>
      <w:r w:rsidRPr="008A5F4B">
        <w:t xml:space="preserve"> permiten estudiar esta dinámica de forma longitudinal en condiciones ecológicamente válidas.</w:t>
      </w:r>
    </w:p>
    <w:p w14:paraId="00000038" w14:textId="77777777" w:rsidR="006F0C9D" w:rsidRPr="008A5F4B" w:rsidRDefault="00000000" w:rsidP="008A5F4B">
      <w:pPr>
        <w:spacing w:after="120" w:line="360" w:lineRule="auto"/>
        <w:jc w:val="both"/>
      </w:pPr>
      <w:r w:rsidRPr="008A5F4B">
        <w:t xml:space="preserve">La pregunta clínica que guía este trabajo es simple: ¿pueden los eventos de desaturación </w:t>
      </w:r>
      <w:sdt>
        <w:sdtPr>
          <w:tag w:val="goog_rdk_4"/>
          <w:id w:val="-1321563393"/>
        </w:sdtPr>
        <w:sdtContent/>
      </w:sdt>
      <w:r w:rsidRPr="008A5F4B">
        <w:t>de oxígeno nocturna contener información fisiológica relevante que los índices clásicos no muestran? A partir de esa pregunta, el presente trabajo propone un marco analítico basado en datos con tres objetivos específicos: (1) identificar fenotipos morfológicos reproducibles de los eventos de desaturación de oxígeno (EDO) mediante técnicas no supervisadas; (2) desarrollar un Índice de Respuesta Autonómica (ARI) que capture la respuesta del organismo ante cada evento, independientemente de la profundidad de la caída de oxígeno; y (3) validar la estabilidad y reproducibilidad de las métricas propuestas en mediciones repetidas de distintas noches del mismo paciente.</w:t>
      </w:r>
    </w:p>
    <w:p w14:paraId="00000039" w14:textId="77777777" w:rsidR="006F0C9D" w:rsidRPr="008A5F4B" w:rsidRDefault="00000000" w:rsidP="008A5F4B">
      <w:pPr>
        <w:pStyle w:val="Ttulo1"/>
        <w:spacing w:line="360" w:lineRule="auto"/>
        <w:jc w:val="both"/>
        <w:rPr>
          <w:color w:val="auto"/>
        </w:rPr>
      </w:pPr>
      <w:r w:rsidRPr="008A5F4B">
        <w:rPr>
          <w:color w:val="auto"/>
        </w:rPr>
        <w:t>2. Materiales y Métodos</w:t>
      </w:r>
    </w:p>
    <w:p w14:paraId="0000003A" w14:textId="77777777" w:rsidR="006F0C9D" w:rsidRPr="008A5F4B" w:rsidRDefault="00000000" w:rsidP="008A5F4B">
      <w:pPr>
        <w:pStyle w:val="Ttulo2"/>
        <w:spacing w:line="360" w:lineRule="auto"/>
        <w:jc w:val="both"/>
        <w:rPr>
          <w:color w:val="auto"/>
        </w:rPr>
      </w:pPr>
      <w:r w:rsidRPr="008A5F4B">
        <w:rPr>
          <w:color w:val="auto"/>
        </w:rPr>
        <w:t>2.1 Diseño del estudio y cohorte</w:t>
      </w:r>
    </w:p>
    <w:p w14:paraId="0000003B" w14:textId="74230BF1" w:rsidR="006F0C9D" w:rsidRPr="008A5F4B" w:rsidRDefault="00000000" w:rsidP="008A5F4B">
      <w:pPr>
        <w:spacing w:after="120" w:line="360" w:lineRule="auto"/>
        <w:jc w:val="both"/>
      </w:pPr>
      <w:r w:rsidRPr="008A5F4B">
        <w:t>Se realizó un análisis retrospectivo observacional de señales fisiológicas nocturnas adquiridas en entorno domiciliario. La cohorte incluyó 12 pacientes y 560 noches en total. Los pacientes utilizaron un oxímetro portátil (SOMNI 6000) durante el sueño en su domicilio habitual. Este dispositivo portátil de uso domiciliario, aprobado por ANMAT, integra un pulsioxímetro y un estimulador eléctrico transcutáneo en un único sensor de dedo no invasivo</w:t>
      </w:r>
      <w:sdt>
        <w:sdtPr>
          <w:tag w:val="goog_rdk_5"/>
          <w:id w:val="736006827"/>
        </w:sdtPr>
        <w:sdtContent/>
      </w:sdt>
      <w:r w:rsidRPr="008A5F4B">
        <w:t>, registrando SpO₂ y frecuencia de pulso (asimilable a FC) en continuo a 1 Hz con transmisión vía Bluetooth LE. El diseño de monitoreo ambulatorio permite obtener registros nocturnos repetidos con alta resolución temporal y sin las restricciones propias del laboratorio de sueño.</w:t>
      </w:r>
      <w:r w:rsidR="00D34F49" w:rsidRPr="00D34F49">
        <w:rPr>
          <w:vertAlign w:val="superscript"/>
        </w:rPr>
        <w:t>[</w:t>
      </w:r>
      <w:r w:rsidRPr="00D34F49">
        <w:rPr>
          <w:vertAlign w:val="superscript"/>
        </w:rPr>
        <w:t>7</w:t>
      </w:r>
      <w:r w:rsidR="00D34F49" w:rsidRPr="00D34F49">
        <w:rPr>
          <w:vertAlign w:val="superscript"/>
        </w:rPr>
        <w:t>]</w:t>
      </w:r>
      <w:r w:rsidRPr="008A5F4B">
        <w:t xml:space="preserve"> Las señales incluyeron SpO₂ a 1 Hz, FC y nivel de movimiento (MOV); duración media del registro: 5.8 ± 1.5 horas.</w:t>
      </w:r>
    </w:p>
    <w:p w14:paraId="0000003C" w14:textId="77777777" w:rsidR="006F0C9D" w:rsidRPr="008A5F4B" w:rsidRDefault="00000000" w:rsidP="008A5F4B">
      <w:pPr>
        <w:pStyle w:val="Ttulo2"/>
        <w:spacing w:line="360" w:lineRule="auto"/>
        <w:jc w:val="both"/>
        <w:rPr>
          <w:color w:val="auto"/>
        </w:rPr>
      </w:pPr>
      <w:r w:rsidRPr="008A5F4B">
        <w:rPr>
          <w:color w:val="auto"/>
        </w:rPr>
        <w:lastRenderedPageBreak/>
        <w:t>2.2 Pipeline PAC_v3 y detección de eventos</w:t>
      </w:r>
    </w:p>
    <w:p w14:paraId="0000003D" w14:textId="6EA0609A" w:rsidR="006F0C9D" w:rsidRPr="008A5F4B" w:rsidRDefault="00000000" w:rsidP="008A5F4B">
      <w:pPr>
        <w:spacing w:after="120" w:line="360" w:lineRule="auto"/>
        <w:jc w:val="both"/>
      </w:pPr>
      <w:r w:rsidRPr="008A5F4B">
        <w:rPr>
          <w:rFonts w:eastAsia="Caudex"/>
        </w:rPr>
        <w:t>Los datos fueron procesados con el pipeline PAC_v3 (</w:t>
      </w:r>
      <w:r w:rsidRPr="00D34F49">
        <w:rPr>
          <w:rFonts w:eastAsia="Caudex"/>
          <w:i/>
          <w:iCs/>
        </w:rPr>
        <w:t>Programa Análisis Continuo</w:t>
      </w:r>
      <w:r w:rsidRPr="008A5F4B">
        <w:rPr>
          <w:rFonts w:eastAsia="Caudex"/>
        </w:rPr>
        <w:t xml:space="preserve">), sistema modular desarrollado </w:t>
      </w:r>
      <w:r w:rsidRPr="00D34F49">
        <w:rPr>
          <w:rFonts w:eastAsia="Caudex"/>
          <w:i/>
          <w:iCs/>
        </w:rPr>
        <w:t>ad hoc</w:t>
      </w:r>
      <w:r w:rsidRPr="008A5F4B">
        <w:rPr>
          <w:rFonts w:eastAsia="Caudex"/>
        </w:rPr>
        <w:t xml:space="preserve"> que incluye etapas de control de calidad, normalización de señales, detección de eventos y consolidación de métricas. Un EDO se definió como caída de SpO₂ ≥3 pp respecto al basal local (mediana en ventana de 300 s previos), duración ≥10 s, con recuperación al 90% del basal. Cada curva fue remuestreada a 30 puntos equiespaciados para permitir comparación morfológica entre eventos de distinta duración.</w:t>
      </w:r>
    </w:p>
    <w:p w14:paraId="0000003E" w14:textId="77777777" w:rsidR="006F0C9D" w:rsidRPr="008A5F4B" w:rsidRDefault="00000000" w:rsidP="008A5F4B">
      <w:pPr>
        <w:pStyle w:val="Ttulo2"/>
        <w:spacing w:line="360" w:lineRule="auto"/>
        <w:jc w:val="both"/>
        <w:rPr>
          <w:color w:val="auto"/>
        </w:rPr>
      </w:pPr>
      <w:r w:rsidRPr="008A5F4B">
        <w:rPr>
          <w:color w:val="auto"/>
        </w:rPr>
        <w:t>2.3 Análisis morfológico y ARI</w:t>
      </w:r>
    </w:p>
    <w:p w14:paraId="0000003F" w14:textId="77777777" w:rsidR="006F0C9D" w:rsidRPr="008A5F4B" w:rsidRDefault="00000000" w:rsidP="008A5F4B">
      <w:pPr>
        <w:spacing w:after="120" w:line="360" w:lineRule="auto"/>
        <w:jc w:val="both"/>
      </w:pPr>
      <w:r w:rsidRPr="008A5F4B">
        <w:t>El análisis morfológico se realizó en dos etapas sobre las 85.277 curvas normalizadas. Primero, se aplicó PCA para reducir cada curva de 30 puntos a un espacio de menor dimensión (tres componentes explicaron el 83.9% de la varianza total). Sobre ese espacio reducido se aplicó K-means,11 seleccionando k=5 mediante el criterio del codo y la métrica de Silhouette, que evalúa la cohesión interna de cada grupo y su separación respecto a los demás.</w:t>
      </w:r>
    </w:p>
    <w:p w14:paraId="00000040" w14:textId="77777777" w:rsidR="006F0C9D" w:rsidRPr="008A5F4B" w:rsidRDefault="00000000" w:rsidP="008A5F4B">
      <w:pPr>
        <w:spacing w:after="120" w:line="360" w:lineRule="auto"/>
        <w:jc w:val="both"/>
      </w:pPr>
      <w:r w:rsidRPr="008A5F4B">
        <w:t>El Índice de Respuesta Autonómica (ARI) se definió como:</w:t>
      </w:r>
    </w:p>
    <w:p w14:paraId="00000041" w14:textId="77777777" w:rsidR="006F0C9D" w:rsidRPr="008A5F4B" w:rsidRDefault="00000000" w:rsidP="00D34F49">
      <w:pPr>
        <w:spacing w:before="120" w:after="120" w:line="360" w:lineRule="auto"/>
        <w:jc w:val="center"/>
      </w:pPr>
      <w:r w:rsidRPr="008A5F4B">
        <w:rPr>
          <w:i/>
          <w:iCs/>
        </w:rPr>
        <w:t>ARI = 0.6 · Pct(ΔHR / ΔSpO₂) + 0.4 · Pct(ΔMov / ΔSpO₂)   (1)</w:t>
      </w:r>
    </w:p>
    <w:p w14:paraId="00000042" w14:textId="77777777" w:rsidR="006F0C9D" w:rsidRPr="008A5F4B" w:rsidRDefault="00000000" w:rsidP="008A5F4B">
      <w:pPr>
        <w:spacing w:after="120" w:line="360" w:lineRule="auto"/>
        <w:jc w:val="both"/>
      </w:pPr>
      <w:r w:rsidRPr="008A5F4B">
        <w:t>donde Pct(x) indica el rango percentil de x dentro de la distribución de eventos del propio paciente: transforma cada cociente en un valor entre 0 y 1, donde 0 representa la mínima respuesta registrada y 1 la máxima, permitiendo comparar entre pacientes con distintas magnitudes absolutas de respuesta.</w:t>
      </w:r>
    </w:p>
    <w:p w14:paraId="00000043" w14:textId="77777777" w:rsidR="006F0C9D" w:rsidRPr="008A5F4B" w:rsidRDefault="00000000" w:rsidP="008A5F4B">
      <w:pPr>
        <w:spacing w:after="120" w:line="360" w:lineRule="auto"/>
        <w:jc w:val="both"/>
      </w:pPr>
      <w:r w:rsidRPr="008A5F4B">
        <w:t>En términos prácticos, el ARI mide cuánto responden el corazón y el cuerpo ante cada caída de oxígeno, en proporción a la magnitud de esa caída. Un ARI alto indica una respuesta autonómica eficiente; un ARI bajo, una respuesta atenuada o ausente. El índice se calcula únicamente sobre eventos con caída real de SpO₂ (84.248 de los 85.277 detectados), y se expresa en una escala adimensional entre 0 y 1 que permite comparar entre pacientes. Los pesos 0.6/0.4 reflejan la mayor contribución informativa del componente cardíaco respecto al movimiento.</w:t>
      </w:r>
    </w:p>
    <w:p w14:paraId="00000044" w14:textId="77777777" w:rsidR="006F0C9D" w:rsidRPr="008A5F4B" w:rsidRDefault="00000000" w:rsidP="008A5F4B">
      <w:pPr>
        <w:pStyle w:val="Ttulo2"/>
        <w:spacing w:line="360" w:lineRule="auto"/>
        <w:jc w:val="both"/>
        <w:rPr>
          <w:color w:val="auto"/>
        </w:rPr>
      </w:pPr>
      <w:r w:rsidRPr="008A5F4B">
        <w:rPr>
          <w:color w:val="auto"/>
        </w:rPr>
        <w:t>2.4 Validación interna multi-noche</w:t>
      </w:r>
    </w:p>
    <w:p w14:paraId="00000045" w14:textId="7DC28800" w:rsidR="006F0C9D" w:rsidRPr="008A5F4B" w:rsidRDefault="00000000" w:rsidP="008A5F4B">
      <w:pPr>
        <w:spacing w:after="120" w:line="360" w:lineRule="auto"/>
        <w:jc w:val="both"/>
      </w:pPr>
      <w:r w:rsidRPr="008A5F4B">
        <w:rPr>
          <w:rFonts w:eastAsia="Gungsuh"/>
        </w:rPr>
        <w:t>En ausencia de polisomnografía (PSG) como estándar externo, la validación se centró en tres preguntas prácticas: ¿qué tan consistente es el resultado de una noche a otra en el mismo paciente?; ¿cuánto error se comete al estimar el índice con una sola noche en lugar de promediar muchas?; y ¿a partir de cuántas noches el resultado se vuelve estable y confiable?</w:t>
      </w:r>
      <w:r w:rsidR="00D34F49">
        <w:rPr>
          <w:rFonts w:eastAsia="Gungsuh"/>
        </w:rPr>
        <w:t>[</w:t>
      </w:r>
      <w:r w:rsidRPr="008A5F4B">
        <w:rPr>
          <w:rFonts w:eastAsia="Gungsuh"/>
        </w:rPr>
        <w:t>12,13</w:t>
      </w:r>
      <w:r w:rsidR="00D34F49">
        <w:rPr>
          <w:rFonts w:eastAsia="Gungsuh"/>
        </w:rPr>
        <w:t>]</w:t>
      </w:r>
      <w:r w:rsidRPr="008A5F4B">
        <w:rPr>
          <w:rFonts w:eastAsia="Gungsuh"/>
        </w:rPr>
        <w:t xml:space="preserve"> Para </w:t>
      </w:r>
      <w:r w:rsidRPr="008A5F4B">
        <w:rPr>
          <w:rFonts w:eastAsia="Gungsuh"/>
        </w:rPr>
        <w:lastRenderedPageBreak/>
        <w:t>cada pregunta se utilizaron métodos estadísticos estándar de reproducibilidad longitudinal (n=7 pacientes con ≥14 noches válidas): el coeficiente de correlación intraclase (ICC, que varía entre 0 y 1: valores próximos a 1 indican alta reproducibilidad entre noches; valores próximos a 0, alta variabilidad) y el análisis de Bland-Altman. La severidad nocturna se clasificó según el ODI3: Leve (&lt;5 ev/h), Moderado (5–15), Grave (15–30) y Muy grave (≥30).</w:t>
      </w:r>
    </w:p>
    <w:p w14:paraId="00000046" w14:textId="77777777" w:rsidR="006F0C9D" w:rsidRPr="008A5F4B" w:rsidRDefault="00000000" w:rsidP="008A5F4B">
      <w:pPr>
        <w:pStyle w:val="Ttulo1"/>
        <w:spacing w:line="360" w:lineRule="auto"/>
        <w:jc w:val="both"/>
        <w:rPr>
          <w:color w:val="auto"/>
        </w:rPr>
      </w:pPr>
      <w:r w:rsidRPr="008A5F4B">
        <w:rPr>
          <w:color w:val="auto"/>
        </w:rPr>
        <w:t>3. Resultados</w:t>
      </w:r>
    </w:p>
    <w:p w14:paraId="00000047" w14:textId="77777777" w:rsidR="006F0C9D" w:rsidRPr="008A5F4B" w:rsidRDefault="00000000" w:rsidP="008A5F4B">
      <w:pPr>
        <w:pStyle w:val="Ttulo2"/>
        <w:spacing w:line="360" w:lineRule="auto"/>
        <w:jc w:val="both"/>
        <w:rPr>
          <w:color w:val="auto"/>
        </w:rPr>
      </w:pPr>
      <w:r w:rsidRPr="008A5F4B">
        <w:rPr>
          <w:color w:val="auto"/>
        </w:rPr>
        <w:t>3.1 Descripción de la cohorte</w:t>
      </w:r>
    </w:p>
    <w:p w14:paraId="00000048" w14:textId="77777777" w:rsidR="006F0C9D" w:rsidRPr="008A5F4B" w:rsidRDefault="00000000" w:rsidP="008A5F4B">
      <w:pPr>
        <w:spacing w:after="120" w:line="360" w:lineRule="auto"/>
        <w:jc w:val="both"/>
      </w:pPr>
      <w:r w:rsidRPr="008A5F4B">
        <w:t xml:space="preserve">La cohorte incluyó 12 pacientes con 560 noches y 85.277 EDOs con morfotipo asignado (98.8% del total detectado). La distribución de severidad </w:t>
      </w:r>
      <w:sdt>
        <w:sdtPr>
          <w:tag w:val="goog_rdk_8"/>
          <w:id w:val="1237147243"/>
        </w:sdtPr>
        <w:sdtContent/>
      </w:sdt>
      <w:r w:rsidRPr="008A5F4B">
        <w:t>de ODI3 fue : Leve 5.2%, Moderado 46.2%, Grave 38.9%, Muy grave 9.6% —cohorte sesgada hacia carga moderada-grave, no representativa de la distribución poblacional—. La Tabla 1 resume los índices nocturnos.</w:t>
      </w:r>
    </w:p>
    <w:p w14:paraId="00000049" w14:textId="77777777" w:rsidR="006F0C9D" w:rsidRPr="008A5F4B" w:rsidRDefault="006F0C9D" w:rsidP="008A5F4B">
      <w:pPr>
        <w:spacing w:line="360" w:lineRule="auto"/>
        <w:jc w:val="both"/>
      </w:pPr>
    </w:p>
    <w:p w14:paraId="0000004A" w14:textId="77777777" w:rsidR="006F0C9D" w:rsidRPr="008A5F4B" w:rsidRDefault="00000000" w:rsidP="008A5F4B">
      <w:pPr>
        <w:spacing w:after="80" w:line="360" w:lineRule="auto"/>
        <w:jc w:val="both"/>
      </w:pPr>
      <w:r w:rsidRPr="008A5F4B">
        <w:rPr>
          <w:b/>
          <w:bCs/>
        </w:rPr>
        <w:t>Tabla 1. Estadísticos descriptivos de índices nocturnos (560 noches).</w:t>
      </w:r>
    </w:p>
    <w:tbl>
      <w:tblPr>
        <w:tblStyle w:val="a"/>
        <w:tblW w:w="8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300"/>
        <w:gridCol w:w="1200"/>
        <w:gridCol w:w="900"/>
        <w:gridCol w:w="900"/>
        <w:gridCol w:w="1100"/>
        <w:gridCol w:w="1000"/>
      </w:tblGrid>
      <w:tr w:rsidR="006F0C9D" w:rsidRPr="008A5F4B" w14:paraId="4B2D680B"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4B" w14:textId="77777777" w:rsidR="006F0C9D" w:rsidRPr="008A5F4B" w:rsidRDefault="00000000" w:rsidP="008A5F4B">
            <w:pPr>
              <w:spacing w:line="280" w:lineRule="auto"/>
              <w:jc w:val="both"/>
            </w:pPr>
            <w:r w:rsidRPr="008A5F4B">
              <w:rPr>
                <w:b/>
                <w:bCs/>
                <w:sz w:val="22"/>
                <w:szCs w:val="22"/>
              </w:rPr>
              <w:t>Índice</w:t>
            </w:r>
          </w:p>
        </w:tc>
        <w:tc>
          <w:tcPr>
            <w:tcW w:w="13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4C" w14:textId="77777777" w:rsidR="006F0C9D" w:rsidRPr="008A5F4B" w:rsidRDefault="00000000" w:rsidP="008A5F4B">
            <w:pPr>
              <w:spacing w:line="280" w:lineRule="auto"/>
              <w:jc w:val="both"/>
            </w:pPr>
            <w:r w:rsidRPr="008A5F4B">
              <w:rPr>
                <w:b/>
                <w:bCs/>
                <w:sz w:val="22"/>
                <w:szCs w:val="22"/>
              </w:rPr>
              <w:t>Media</w:t>
            </w:r>
          </w:p>
        </w:tc>
        <w:tc>
          <w:tcPr>
            <w:tcW w:w="12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4D" w14:textId="77777777" w:rsidR="006F0C9D" w:rsidRPr="008A5F4B" w:rsidRDefault="00000000" w:rsidP="008A5F4B">
            <w:pPr>
              <w:spacing w:line="280" w:lineRule="auto"/>
              <w:jc w:val="both"/>
            </w:pPr>
            <w:r w:rsidRPr="008A5F4B">
              <w:rPr>
                <w:b/>
                <w:bCs/>
                <w:sz w:val="22"/>
                <w:szCs w:val="22"/>
              </w:rPr>
              <w:t>DE</w:t>
            </w:r>
          </w:p>
        </w:tc>
        <w:tc>
          <w:tcPr>
            <w:tcW w:w="9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4E" w14:textId="77777777" w:rsidR="006F0C9D" w:rsidRPr="008A5F4B" w:rsidRDefault="00000000" w:rsidP="008A5F4B">
            <w:pPr>
              <w:spacing w:line="280" w:lineRule="auto"/>
              <w:jc w:val="both"/>
            </w:pPr>
            <w:r w:rsidRPr="008A5F4B">
              <w:rPr>
                <w:b/>
                <w:bCs/>
                <w:sz w:val="22"/>
                <w:szCs w:val="22"/>
              </w:rPr>
              <w:t>CV%</w:t>
            </w:r>
          </w:p>
        </w:tc>
        <w:tc>
          <w:tcPr>
            <w:tcW w:w="9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4F" w14:textId="77777777" w:rsidR="006F0C9D" w:rsidRPr="008A5F4B" w:rsidRDefault="00000000" w:rsidP="008A5F4B">
            <w:pPr>
              <w:spacing w:line="280" w:lineRule="auto"/>
              <w:jc w:val="both"/>
            </w:pPr>
            <w:r w:rsidRPr="008A5F4B">
              <w:rPr>
                <w:b/>
                <w:bCs/>
                <w:sz w:val="22"/>
                <w:szCs w:val="22"/>
              </w:rPr>
              <w:t>Mín</w:t>
            </w:r>
          </w:p>
        </w:tc>
        <w:tc>
          <w:tcPr>
            <w:tcW w:w="11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50" w14:textId="77777777" w:rsidR="006F0C9D" w:rsidRPr="008A5F4B" w:rsidRDefault="00000000" w:rsidP="008A5F4B">
            <w:pPr>
              <w:spacing w:line="280" w:lineRule="auto"/>
              <w:jc w:val="both"/>
            </w:pPr>
            <w:r w:rsidRPr="008A5F4B">
              <w:rPr>
                <w:b/>
                <w:bCs/>
                <w:sz w:val="22"/>
                <w:szCs w:val="22"/>
              </w:rPr>
              <w:t>P50</w:t>
            </w:r>
          </w:p>
        </w:tc>
        <w:tc>
          <w:tcPr>
            <w:tcW w:w="10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51" w14:textId="77777777" w:rsidR="006F0C9D" w:rsidRPr="008A5F4B" w:rsidRDefault="00000000" w:rsidP="008A5F4B">
            <w:pPr>
              <w:spacing w:line="280" w:lineRule="auto"/>
              <w:jc w:val="both"/>
            </w:pPr>
            <w:r w:rsidRPr="008A5F4B">
              <w:rPr>
                <w:b/>
                <w:bCs/>
                <w:sz w:val="22"/>
                <w:szCs w:val="22"/>
              </w:rPr>
              <w:t>Máx</w:t>
            </w:r>
          </w:p>
        </w:tc>
      </w:tr>
      <w:tr w:rsidR="006F0C9D" w:rsidRPr="008A5F4B" w14:paraId="27FD489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2" w14:textId="77777777" w:rsidR="006F0C9D" w:rsidRPr="008A5F4B" w:rsidRDefault="00000000" w:rsidP="008A5F4B">
            <w:pPr>
              <w:spacing w:line="280" w:lineRule="auto"/>
              <w:jc w:val="both"/>
            </w:pPr>
            <w:r w:rsidRPr="008A5F4B">
              <w:rPr>
                <w:sz w:val="22"/>
                <w:szCs w:val="22"/>
              </w:rPr>
              <w:t>ODI3 (ev/h)</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3" w14:textId="77777777" w:rsidR="006F0C9D" w:rsidRPr="008A5F4B" w:rsidRDefault="00000000" w:rsidP="008A5F4B">
            <w:pPr>
              <w:spacing w:line="280" w:lineRule="auto"/>
              <w:jc w:val="both"/>
            </w:pPr>
            <w:r w:rsidRPr="008A5F4B">
              <w:rPr>
                <w:sz w:val="22"/>
                <w:szCs w:val="22"/>
              </w:rPr>
              <w:t>17.9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4" w14:textId="77777777" w:rsidR="006F0C9D" w:rsidRPr="008A5F4B" w:rsidRDefault="00000000" w:rsidP="008A5F4B">
            <w:pPr>
              <w:spacing w:line="280" w:lineRule="auto"/>
              <w:jc w:val="both"/>
            </w:pPr>
            <w:r w:rsidRPr="008A5F4B">
              <w:rPr>
                <w:sz w:val="22"/>
                <w:szCs w:val="22"/>
              </w:rPr>
              <w:t>14.1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5" w14:textId="77777777" w:rsidR="006F0C9D" w:rsidRPr="008A5F4B" w:rsidRDefault="00000000" w:rsidP="008A5F4B">
            <w:pPr>
              <w:spacing w:line="280" w:lineRule="auto"/>
              <w:jc w:val="both"/>
            </w:pPr>
            <w:r w:rsidRPr="008A5F4B">
              <w:rPr>
                <w:sz w:val="22"/>
                <w:szCs w:val="22"/>
              </w:rPr>
              <w:t>78.6</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6" w14:textId="77777777" w:rsidR="006F0C9D" w:rsidRPr="008A5F4B" w:rsidRDefault="00000000" w:rsidP="008A5F4B">
            <w:pPr>
              <w:spacing w:line="280" w:lineRule="auto"/>
              <w:jc w:val="both"/>
            </w:pPr>
            <w:r w:rsidRPr="008A5F4B">
              <w:rPr>
                <w:sz w:val="22"/>
                <w:szCs w:val="22"/>
              </w:rPr>
              <w:t>1.8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7" w14:textId="77777777" w:rsidR="006F0C9D" w:rsidRPr="008A5F4B" w:rsidRDefault="00000000" w:rsidP="008A5F4B">
            <w:pPr>
              <w:spacing w:line="280" w:lineRule="auto"/>
              <w:jc w:val="both"/>
            </w:pPr>
            <w:r w:rsidRPr="008A5F4B">
              <w:rPr>
                <w:sz w:val="22"/>
                <w:szCs w:val="22"/>
              </w:rPr>
              <w:t>14.6</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8" w14:textId="77777777" w:rsidR="006F0C9D" w:rsidRPr="008A5F4B" w:rsidRDefault="00000000" w:rsidP="008A5F4B">
            <w:pPr>
              <w:spacing w:line="280" w:lineRule="auto"/>
              <w:jc w:val="both"/>
            </w:pPr>
            <w:r w:rsidRPr="008A5F4B">
              <w:rPr>
                <w:sz w:val="22"/>
                <w:szCs w:val="22"/>
              </w:rPr>
              <w:t>98.6</w:t>
            </w:r>
          </w:p>
        </w:tc>
      </w:tr>
      <w:tr w:rsidR="006F0C9D" w:rsidRPr="008A5F4B" w14:paraId="3AD66D1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9" w14:textId="77777777" w:rsidR="006F0C9D" w:rsidRPr="008A5F4B" w:rsidRDefault="00000000" w:rsidP="008A5F4B">
            <w:pPr>
              <w:spacing w:line="280" w:lineRule="auto"/>
              <w:jc w:val="both"/>
            </w:pPr>
            <w:r w:rsidRPr="008A5F4B">
              <w:rPr>
                <w:sz w:val="22"/>
                <w:szCs w:val="22"/>
              </w:rPr>
              <w:t>T90 (%)</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A" w14:textId="77777777" w:rsidR="006F0C9D" w:rsidRPr="008A5F4B" w:rsidRDefault="00000000" w:rsidP="008A5F4B">
            <w:pPr>
              <w:spacing w:line="280" w:lineRule="auto"/>
              <w:jc w:val="both"/>
            </w:pPr>
            <w:r w:rsidRPr="008A5F4B">
              <w:rPr>
                <w:sz w:val="22"/>
                <w:szCs w:val="22"/>
              </w:rPr>
              <w:t>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B" w14:textId="77777777" w:rsidR="006F0C9D" w:rsidRPr="008A5F4B" w:rsidRDefault="00000000" w:rsidP="008A5F4B">
            <w:pPr>
              <w:spacing w:line="280" w:lineRule="auto"/>
              <w:jc w:val="both"/>
            </w:pPr>
            <w:r w:rsidRPr="008A5F4B">
              <w:rPr>
                <w:sz w:val="22"/>
                <w:szCs w:val="22"/>
              </w:rPr>
              <w:t>8.2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C" w14:textId="77777777" w:rsidR="006F0C9D" w:rsidRPr="008A5F4B" w:rsidRDefault="00000000" w:rsidP="008A5F4B">
            <w:pPr>
              <w:spacing w:line="280" w:lineRule="auto"/>
              <w:jc w:val="both"/>
            </w:pPr>
            <w:r w:rsidRPr="008A5F4B">
              <w:rPr>
                <w:sz w:val="22"/>
                <w:szCs w:val="22"/>
              </w:rPr>
              <w:t>215.3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D" w14:textId="77777777" w:rsidR="006F0C9D" w:rsidRPr="008A5F4B" w:rsidRDefault="00000000" w:rsidP="008A5F4B">
            <w:pPr>
              <w:spacing w:line="280" w:lineRule="auto"/>
              <w:jc w:val="both"/>
            </w:pPr>
            <w:r w:rsidRPr="008A5F4B">
              <w:rPr>
                <w:sz w:val="22"/>
                <w:szCs w:val="22"/>
              </w:rPr>
              <w:t>0.0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E" w14:textId="77777777" w:rsidR="006F0C9D" w:rsidRPr="008A5F4B" w:rsidRDefault="00000000" w:rsidP="008A5F4B">
            <w:pPr>
              <w:spacing w:line="280" w:lineRule="auto"/>
              <w:jc w:val="both"/>
            </w:pPr>
            <w:r w:rsidRPr="008A5F4B">
              <w:rPr>
                <w:sz w:val="22"/>
                <w:szCs w:val="22"/>
              </w:rPr>
              <w:t>1.8</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5F" w14:textId="77777777" w:rsidR="006F0C9D" w:rsidRPr="008A5F4B" w:rsidRDefault="00000000" w:rsidP="008A5F4B">
            <w:pPr>
              <w:spacing w:line="280" w:lineRule="auto"/>
              <w:jc w:val="both"/>
            </w:pPr>
            <w:r w:rsidRPr="008A5F4B">
              <w:rPr>
                <w:sz w:val="22"/>
                <w:szCs w:val="22"/>
              </w:rPr>
              <w:t>91.5</w:t>
            </w:r>
          </w:p>
        </w:tc>
      </w:tr>
      <w:tr w:rsidR="006F0C9D" w:rsidRPr="008A5F4B" w14:paraId="4F2514C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0" w14:textId="77777777" w:rsidR="006F0C9D" w:rsidRPr="008A5F4B" w:rsidRDefault="00000000" w:rsidP="008A5F4B">
            <w:pPr>
              <w:spacing w:line="280" w:lineRule="auto"/>
              <w:jc w:val="both"/>
            </w:pPr>
            <w:r w:rsidRPr="008A5F4B">
              <w:rPr>
                <w:sz w:val="22"/>
                <w:szCs w:val="22"/>
              </w:rPr>
              <w:t>SpO₂ mín (%)</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1" w14:textId="77777777" w:rsidR="006F0C9D" w:rsidRPr="008A5F4B" w:rsidRDefault="00000000" w:rsidP="008A5F4B">
            <w:pPr>
              <w:spacing w:line="280" w:lineRule="auto"/>
              <w:jc w:val="both"/>
            </w:pPr>
            <w:r w:rsidRPr="008A5F4B">
              <w:rPr>
                <w:sz w:val="22"/>
                <w:szCs w:val="22"/>
              </w:rPr>
              <w:t>70.5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2" w14:textId="77777777" w:rsidR="006F0C9D" w:rsidRPr="008A5F4B" w:rsidRDefault="00000000" w:rsidP="008A5F4B">
            <w:pPr>
              <w:spacing w:line="280" w:lineRule="auto"/>
              <w:jc w:val="both"/>
            </w:pPr>
            <w:r w:rsidRPr="008A5F4B">
              <w:rPr>
                <w:sz w:val="22"/>
                <w:szCs w:val="22"/>
              </w:rPr>
              <w:t>8.7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3" w14:textId="77777777" w:rsidR="006F0C9D" w:rsidRPr="008A5F4B" w:rsidRDefault="00000000" w:rsidP="008A5F4B">
            <w:pPr>
              <w:spacing w:line="280" w:lineRule="auto"/>
              <w:jc w:val="both"/>
            </w:pPr>
            <w:r w:rsidRPr="008A5F4B">
              <w:rPr>
                <w:sz w:val="22"/>
                <w:szCs w:val="22"/>
              </w:rPr>
              <w:t>12.4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4" w14:textId="77777777" w:rsidR="006F0C9D" w:rsidRPr="008A5F4B" w:rsidRDefault="00000000" w:rsidP="008A5F4B">
            <w:pPr>
              <w:spacing w:line="280" w:lineRule="auto"/>
              <w:jc w:val="both"/>
            </w:pPr>
            <w:r w:rsidRPr="008A5F4B">
              <w:rPr>
                <w:sz w:val="22"/>
                <w:szCs w:val="22"/>
              </w:rPr>
              <w:t>55.0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5" w14:textId="77777777" w:rsidR="006F0C9D" w:rsidRPr="008A5F4B" w:rsidRDefault="00000000" w:rsidP="008A5F4B">
            <w:pPr>
              <w:spacing w:line="280" w:lineRule="auto"/>
              <w:jc w:val="both"/>
            </w:pPr>
            <w:r w:rsidRPr="008A5F4B">
              <w:rPr>
                <w:sz w:val="22"/>
                <w:szCs w:val="22"/>
              </w:rPr>
              <w:t>71.0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6" w14:textId="77777777" w:rsidR="006F0C9D" w:rsidRPr="008A5F4B" w:rsidRDefault="00000000" w:rsidP="008A5F4B">
            <w:pPr>
              <w:spacing w:line="280" w:lineRule="auto"/>
              <w:jc w:val="both"/>
            </w:pPr>
            <w:r w:rsidRPr="008A5F4B">
              <w:rPr>
                <w:sz w:val="22"/>
                <w:szCs w:val="22"/>
              </w:rPr>
              <w:t>88.0</w:t>
            </w:r>
          </w:p>
        </w:tc>
      </w:tr>
      <w:tr w:rsidR="006F0C9D" w:rsidRPr="008A5F4B" w14:paraId="5C9BF4C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7" w14:textId="77777777" w:rsidR="006F0C9D" w:rsidRPr="008A5F4B" w:rsidRDefault="00000000" w:rsidP="008A5F4B">
            <w:pPr>
              <w:spacing w:line="280" w:lineRule="auto"/>
              <w:jc w:val="both"/>
            </w:pPr>
            <w:r w:rsidRPr="008A5F4B">
              <w:rPr>
                <w:sz w:val="22"/>
                <w:szCs w:val="22"/>
              </w:rPr>
              <w:t>SpO₂ media (%)</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8" w14:textId="77777777" w:rsidR="006F0C9D" w:rsidRPr="008A5F4B" w:rsidRDefault="00000000" w:rsidP="008A5F4B">
            <w:pPr>
              <w:spacing w:line="280" w:lineRule="auto"/>
              <w:jc w:val="both"/>
            </w:pPr>
            <w:r w:rsidRPr="008A5F4B">
              <w:rPr>
                <w:sz w:val="22"/>
                <w:szCs w:val="22"/>
              </w:rPr>
              <w:t>93.7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9" w14:textId="77777777" w:rsidR="006F0C9D" w:rsidRPr="008A5F4B" w:rsidRDefault="00000000" w:rsidP="008A5F4B">
            <w:pPr>
              <w:spacing w:line="280" w:lineRule="auto"/>
              <w:jc w:val="both"/>
            </w:pPr>
            <w:r w:rsidRPr="008A5F4B">
              <w:rPr>
                <w:sz w:val="22"/>
                <w:szCs w:val="22"/>
              </w:rPr>
              <w:t>1.4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A" w14:textId="77777777" w:rsidR="006F0C9D" w:rsidRPr="008A5F4B" w:rsidRDefault="00000000" w:rsidP="008A5F4B">
            <w:pPr>
              <w:spacing w:line="280" w:lineRule="auto"/>
              <w:jc w:val="both"/>
            </w:pPr>
            <w:r w:rsidRPr="008A5F4B">
              <w:rPr>
                <w:sz w:val="22"/>
                <w:szCs w:val="22"/>
              </w:rPr>
              <w:t>1.5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B" w14:textId="77777777" w:rsidR="006F0C9D" w:rsidRPr="008A5F4B" w:rsidRDefault="00000000" w:rsidP="008A5F4B">
            <w:pPr>
              <w:spacing w:line="280" w:lineRule="auto"/>
              <w:jc w:val="both"/>
            </w:pPr>
            <w:r w:rsidRPr="008A5F4B">
              <w:rPr>
                <w:sz w:val="22"/>
                <w:szCs w:val="22"/>
              </w:rPr>
              <w:t>78.0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C" w14:textId="77777777" w:rsidR="006F0C9D" w:rsidRPr="008A5F4B" w:rsidRDefault="00000000" w:rsidP="008A5F4B">
            <w:pPr>
              <w:spacing w:line="280" w:lineRule="auto"/>
              <w:jc w:val="both"/>
            </w:pPr>
            <w:r w:rsidRPr="008A5F4B">
              <w:rPr>
                <w:sz w:val="22"/>
                <w:szCs w:val="22"/>
              </w:rPr>
              <w:t>93.9</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D" w14:textId="77777777" w:rsidR="006F0C9D" w:rsidRPr="008A5F4B" w:rsidRDefault="00000000" w:rsidP="008A5F4B">
            <w:pPr>
              <w:spacing w:line="280" w:lineRule="auto"/>
              <w:jc w:val="both"/>
            </w:pPr>
            <w:r w:rsidRPr="008A5F4B">
              <w:rPr>
                <w:sz w:val="22"/>
                <w:szCs w:val="22"/>
              </w:rPr>
              <w:t>96.4</w:t>
            </w:r>
          </w:p>
        </w:tc>
      </w:tr>
      <w:tr w:rsidR="006F0C9D" w:rsidRPr="008A5F4B" w14:paraId="660B781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E" w14:textId="77777777" w:rsidR="006F0C9D" w:rsidRPr="008A5F4B" w:rsidRDefault="00000000" w:rsidP="008A5F4B">
            <w:pPr>
              <w:spacing w:line="280" w:lineRule="auto"/>
              <w:jc w:val="both"/>
            </w:pPr>
            <w:r w:rsidRPr="008A5F4B">
              <w:rPr>
                <w:sz w:val="22"/>
                <w:szCs w:val="22"/>
              </w:rPr>
              <w:t>FC media (lpm)</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6F" w14:textId="77777777" w:rsidR="006F0C9D" w:rsidRPr="008A5F4B" w:rsidRDefault="00000000" w:rsidP="008A5F4B">
            <w:pPr>
              <w:spacing w:line="280" w:lineRule="auto"/>
              <w:jc w:val="both"/>
            </w:pPr>
            <w:r w:rsidRPr="008A5F4B">
              <w:rPr>
                <w:sz w:val="22"/>
                <w:szCs w:val="22"/>
              </w:rPr>
              <w:t>61.3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70" w14:textId="77777777" w:rsidR="006F0C9D" w:rsidRPr="008A5F4B" w:rsidRDefault="00000000" w:rsidP="008A5F4B">
            <w:pPr>
              <w:spacing w:line="280" w:lineRule="auto"/>
              <w:jc w:val="both"/>
            </w:pPr>
            <w:r w:rsidRPr="008A5F4B">
              <w:rPr>
                <w:sz w:val="22"/>
                <w:szCs w:val="22"/>
              </w:rPr>
              <w:t>5.5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71" w14:textId="77777777" w:rsidR="006F0C9D" w:rsidRPr="008A5F4B" w:rsidRDefault="00000000" w:rsidP="008A5F4B">
            <w:pPr>
              <w:spacing w:line="280" w:lineRule="auto"/>
              <w:jc w:val="both"/>
            </w:pPr>
            <w:r w:rsidRPr="008A5F4B">
              <w:rPr>
                <w:sz w:val="22"/>
                <w:szCs w:val="22"/>
              </w:rPr>
              <w:t>9.0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72" w14:textId="77777777" w:rsidR="006F0C9D" w:rsidRPr="008A5F4B" w:rsidRDefault="00000000" w:rsidP="008A5F4B">
            <w:pPr>
              <w:spacing w:line="280" w:lineRule="auto"/>
              <w:jc w:val="both"/>
            </w:pPr>
            <w:r w:rsidRPr="008A5F4B">
              <w:rPr>
                <w:sz w:val="22"/>
                <w:szCs w:val="22"/>
              </w:rPr>
              <w:t>48.2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73" w14:textId="77777777" w:rsidR="006F0C9D" w:rsidRPr="008A5F4B" w:rsidRDefault="00000000" w:rsidP="008A5F4B">
            <w:pPr>
              <w:spacing w:line="280" w:lineRule="auto"/>
              <w:jc w:val="both"/>
            </w:pPr>
            <w:r w:rsidRPr="008A5F4B">
              <w:rPr>
                <w:sz w:val="22"/>
                <w:szCs w:val="22"/>
              </w:rPr>
              <w:t>61.4</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74" w14:textId="77777777" w:rsidR="006F0C9D" w:rsidRPr="008A5F4B" w:rsidRDefault="00000000" w:rsidP="008A5F4B">
            <w:pPr>
              <w:spacing w:line="280" w:lineRule="auto"/>
              <w:jc w:val="both"/>
            </w:pPr>
            <w:r w:rsidRPr="008A5F4B">
              <w:rPr>
                <w:sz w:val="22"/>
                <w:szCs w:val="22"/>
              </w:rPr>
              <w:t>100.8</w:t>
            </w:r>
          </w:p>
        </w:tc>
      </w:tr>
    </w:tbl>
    <w:p w14:paraId="00000075" w14:textId="77777777" w:rsidR="006F0C9D" w:rsidRPr="008A5F4B" w:rsidRDefault="00000000" w:rsidP="008A5F4B">
      <w:pPr>
        <w:spacing w:before="60" w:after="180" w:line="300" w:lineRule="auto"/>
        <w:jc w:val="both"/>
      </w:pPr>
      <w:r w:rsidRPr="008A5F4B">
        <w:rPr>
          <w:i/>
          <w:iCs/>
          <w:sz w:val="22"/>
          <w:szCs w:val="22"/>
        </w:rPr>
        <w:t xml:space="preserve">ODI: índice de desaturación </w:t>
      </w:r>
      <w:sdt>
        <w:sdtPr>
          <w:tag w:val="goog_rdk_9"/>
          <w:id w:val="1237117717"/>
        </w:sdtPr>
        <w:sdtContent/>
      </w:sdt>
      <w:r w:rsidRPr="008A5F4B">
        <w:rPr>
          <w:i/>
          <w:iCs/>
          <w:sz w:val="22"/>
          <w:szCs w:val="22"/>
        </w:rPr>
        <w:t>de oxígeno; T90: fracción de tiempo SpO₂&lt;90%; DE: desviación estándar; P50: mediana.</w:t>
      </w:r>
    </w:p>
    <w:p w14:paraId="00000076" w14:textId="77777777" w:rsidR="006F0C9D" w:rsidRPr="008A5F4B" w:rsidRDefault="00000000" w:rsidP="008A5F4B">
      <w:pPr>
        <w:pStyle w:val="Ttulo2"/>
        <w:spacing w:line="360" w:lineRule="auto"/>
        <w:jc w:val="both"/>
        <w:rPr>
          <w:color w:val="auto"/>
        </w:rPr>
      </w:pPr>
      <w:r w:rsidRPr="008A5F4B">
        <w:rPr>
          <w:color w:val="auto"/>
        </w:rPr>
        <w:t>3.2 Estructura morfológica de los eventos</w:t>
      </w:r>
    </w:p>
    <w:p w14:paraId="00000077" w14:textId="77777777" w:rsidR="006F0C9D" w:rsidRPr="008A5F4B" w:rsidRDefault="00000000" w:rsidP="008A5F4B">
      <w:pPr>
        <w:spacing w:after="120" w:line="360" w:lineRule="auto"/>
        <w:jc w:val="both"/>
      </w:pPr>
      <w:r w:rsidRPr="008A5F4B">
        <w:t>El análisis de las 85.277 curvas de desaturación mostró que la forma de cada evento puede resumirse en tres características que, en conjunto, explican el 83.9% de las diferencias entre eventos: la profundidad de la caída, la asimetría entre la fase de descenso y la de recuperación, y la posición temporal del punto más bajo dentro del evento. Esto confirma que los eventos no son aleatorios sino que siguen patrones reproducibles, y que el agrupamiento en cinco morfotipos captura esa variabilidad de forma coherente y visualmente clara (Figura 1).</w:t>
      </w:r>
    </w:p>
    <w:p w14:paraId="00000078" w14:textId="77777777" w:rsidR="006F0C9D" w:rsidRPr="008A5F4B" w:rsidRDefault="00000000" w:rsidP="008A5F4B">
      <w:pPr>
        <w:pStyle w:val="Ttulo2"/>
        <w:spacing w:line="360" w:lineRule="auto"/>
        <w:jc w:val="both"/>
        <w:rPr>
          <w:color w:val="auto"/>
        </w:rPr>
      </w:pPr>
      <w:r w:rsidRPr="008A5F4B">
        <w:rPr>
          <w:color w:val="auto"/>
        </w:rPr>
        <w:t>3.3 Fenotipos morfológicos C1–C5</w:t>
      </w:r>
    </w:p>
    <w:p w14:paraId="00000079" w14:textId="77777777" w:rsidR="006F0C9D" w:rsidRPr="008A5F4B" w:rsidRDefault="00000000" w:rsidP="008A5F4B">
      <w:pPr>
        <w:spacing w:after="120" w:line="360" w:lineRule="auto"/>
        <w:jc w:val="both"/>
      </w:pPr>
      <w:r w:rsidRPr="008A5F4B">
        <w:t xml:space="preserve">El K-means identificó cinco morfotipos con características diferenciadas. La Tabla 2 resume sus propiedades y la Figura 2 muestra las curvas promedio (±1 DE) y la distribución de </w:t>
      </w:r>
      <w:r w:rsidRPr="008A5F4B">
        <w:lastRenderedPageBreak/>
        <w:t>frecuencias. La selección de k=5 se fundamentó en mayor granularidad fisiológica respecto a valores menores de k, que colapsan morfotipos con dinámicas temporales distintas.</w:t>
      </w:r>
    </w:p>
    <w:p w14:paraId="0000007A" w14:textId="77777777" w:rsidR="006F0C9D" w:rsidRPr="008A5F4B" w:rsidRDefault="006F0C9D" w:rsidP="008A5F4B">
      <w:pPr>
        <w:spacing w:line="360" w:lineRule="auto"/>
        <w:jc w:val="both"/>
      </w:pPr>
    </w:p>
    <w:p w14:paraId="0000007B" w14:textId="77777777" w:rsidR="006F0C9D" w:rsidRPr="008A5F4B" w:rsidRDefault="00000000" w:rsidP="008A5F4B">
      <w:pPr>
        <w:spacing w:after="80" w:line="360" w:lineRule="auto"/>
        <w:jc w:val="both"/>
      </w:pPr>
      <w:r w:rsidRPr="008A5F4B">
        <w:rPr>
          <w:b/>
          <w:bCs/>
        </w:rPr>
        <w:t>Tabla 2. Características de los cinco morfotipos (85.277 eventos).</w:t>
      </w:r>
    </w:p>
    <w:tbl>
      <w:tblPr>
        <w:tblStyle w:val="a0"/>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1500"/>
        <w:gridCol w:w="1500"/>
        <w:gridCol w:w="2200"/>
        <w:gridCol w:w="900"/>
      </w:tblGrid>
      <w:tr w:rsidR="006F0C9D" w:rsidRPr="008A5F4B" w14:paraId="06EA6DB1"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7C" w14:textId="77777777" w:rsidR="006F0C9D" w:rsidRPr="008A5F4B" w:rsidRDefault="00000000" w:rsidP="008A5F4B">
            <w:pPr>
              <w:spacing w:line="280" w:lineRule="auto"/>
              <w:jc w:val="both"/>
            </w:pPr>
            <w:r w:rsidRPr="008A5F4B">
              <w:rPr>
                <w:b/>
                <w:bCs/>
                <w:sz w:val="22"/>
                <w:szCs w:val="22"/>
              </w:rPr>
              <w:t>Cluster</w:t>
            </w:r>
          </w:p>
        </w:tc>
        <w:tc>
          <w:tcPr>
            <w:tcW w:w="18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7D" w14:textId="77777777" w:rsidR="006F0C9D" w:rsidRPr="008A5F4B" w:rsidRDefault="00000000" w:rsidP="008A5F4B">
            <w:pPr>
              <w:spacing w:line="280" w:lineRule="auto"/>
              <w:jc w:val="both"/>
            </w:pPr>
            <w:r w:rsidRPr="008A5F4B">
              <w:rPr>
                <w:b/>
                <w:bCs/>
                <w:sz w:val="22"/>
                <w:szCs w:val="22"/>
              </w:rPr>
              <w:t>n (% total)</w:t>
            </w:r>
          </w:p>
        </w:tc>
        <w:tc>
          <w:tcPr>
            <w:tcW w:w="15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7E" w14:textId="77777777" w:rsidR="006F0C9D" w:rsidRPr="008A5F4B" w:rsidRDefault="00000000" w:rsidP="008A5F4B">
            <w:pPr>
              <w:spacing w:line="280" w:lineRule="auto"/>
              <w:jc w:val="both"/>
            </w:pPr>
            <w:r w:rsidRPr="008A5F4B">
              <w:rPr>
                <w:b/>
                <w:bCs/>
                <w:sz w:val="22"/>
                <w:szCs w:val="22"/>
              </w:rPr>
              <w:t>Nadir ΔSpO₂</w:t>
            </w:r>
          </w:p>
        </w:tc>
        <w:tc>
          <w:tcPr>
            <w:tcW w:w="15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7F" w14:textId="77777777" w:rsidR="006F0C9D" w:rsidRPr="008A5F4B" w:rsidRDefault="00000000" w:rsidP="008A5F4B">
            <w:pPr>
              <w:spacing w:line="280" w:lineRule="auto"/>
              <w:jc w:val="both"/>
            </w:pPr>
            <w:r w:rsidRPr="008A5F4B">
              <w:rPr>
                <w:b/>
                <w:bCs/>
                <w:sz w:val="22"/>
                <w:szCs w:val="22"/>
              </w:rPr>
              <w:t>ICC inter-noche</w:t>
            </w:r>
          </w:p>
        </w:tc>
        <w:tc>
          <w:tcPr>
            <w:tcW w:w="22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80" w14:textId="77777777" w:rsidR="006F0C9D" w:rsidRPr="008A5F4B" w:rsidRDefault="00000000" w:rsidP="008A5F4B">
            <w:pPr>
              <w:spacing w:line="280" w:lineRule="auto"/>
              <w:jc w:val="both"/>
            </w:pPr>
            <w:r w:rsidRPr="008A5F4B">
              <w:rPr>
                <w:b/>
                <w:bCs/>
                <w:sz w:val="22"/>
                <w:szCs w:val="22"/>
              </w:rPr>
              <w:t>Descripción</w:t>
            </w:r>
          </w:p>
        </w:tc>
        <w:tc>
          <w:tcPr>
            <w:tcW w:w="9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81" w14:textId="77777777" w:rsidR="006F0C9D" w:rsidRPr="008A5F4B" w:rsidRDefault="00000000" w:rsidP="008A5F4B">
            <w:pPr>
              <w:spacing w:line="280" w:lineRule="auto"/>
              <w:jc w:val="both"/>
            </w:pPr>
            <w:r w:rsidRPr="008A5F4B">
              <w:rPr>
                <w:b/>
                <w:bCs/>
                <w:sz w:val="22"/>
                <w:szCs w:val="22"/>
              </w:rPr>
              <w:t>Cat.</w:t>
            </w:r>
          </w:p>
        </w:tc>
      </w:tr>
      <w:tr w:rsidR="006F0C9D" w:rsidRPr="008A5F4B" w14:paraId="6A7EDD3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2" w14:textId="77777777" w:rsidR="006F0C9D" w:rsidRPr="008A5F4B" w:rsidRDefault="00000000" w:rsidP="008A5F4B">
            <w:pPr>
              <w:spacing w:line="280" w:lineRule="auto"/>
              <w:jc w:val="both"/>
            </w:pPr>
            <w:r w:rsidRPr="008A5F4B">
              <w:rPr>
                <w:sz w:val="22"/>
                <w:szCs w:val="22"/>
              </w:rPr>
              <w:t>C1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3" w14:textId="77777777" w:rsidR="006F0C9D" w:rsidRPr="008A5F4B" w:rsidRDefault="00000000" w:rsidP="008A5F4B">
            <w:pPr>
              <w:spacing w:line="280" w:lineRule="auto"/>
              <w:jc w:val="both"/>
            </w:pPr>
            <w:r w:rsidRPr="008A5F4B">
              <w:rPr>
                <w:sz w:val="22"/>
                <w:szCs w:val="22"/>
              </w:rPr>
              <w:t>55.175 (64.7%)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4" w14:textId="77777777" w:rsidR="006F0C9D" w:rsidRPr="008A5F4B" w:rsidRDefault="00000000" w:rsidP="008A5F4B">
            <w:pPr>
              <w:spacing w:line="280" w:lineRule="auto"/>
              <w:jc w:val="both"/>
            </w:pPr>
            <w:r w:rsidRPr="008A5F4B">
              <w:rPr>
                <w:sz w:val="22"/>
                <w:szCs w:val="22"/>
              </w:rPr>
              <w:t>-1.7 pp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5" w14:textId="77777777" w:rsidR="006F0C9D" w:rsidRPr="008A5F4B" w:rsidRDefault="00000000" w:rsidP="008A5F4B">
            <w:pPr>
              <w:spacing w:line="280" w:lineRule="auto"/>
              <w:jc w:val="both"/>
            </w:pPr>
            <w:r w:rsidRPr="008A5F4B">
              <w:rPr>
                <w:sz w:val="22"/>
                <w:szCs w:val="22"/>
              </w:rPr>
              <w:t>0.601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6" w14:textId="77777777" w:rsidR="006F0C9D" w:rsidRPr="008A5F4B" w:rsidRDefault="00000000" w:rsidP="008A5F4B">
            <w:pPr>
              <w:spacing w:line="280" w:lineRule="auto"/>
              <w:jc w:val="both"/>
            </w:pPr>
            <w:r w:rsidRPr="008A5F4B">
              <w:rPr>
                <w:sz w:val="22"/>
                <w:szCs w:val="22"/>
              </w:rPr>
              <w:t>Basal subcrítico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7" w14:textId="77777777" w:rsidR="006F0C9D" w:rsidRPr="008A5F4B" w:rsidRDefault="00000000" w:rsidP="008A5F4B">
            <w:pPr>
              <w:spacing w:line="280" w:lineRule="auto"/>
              <w:jc w:val="both"/>
            </w:pPr>
            <w:r w:rsidRPr="008A5F4B">
              <w:rPr>
                <w:sz w:val="22"/>
                <w:szCs w:val="22"/>
              </w:rPr>
              <w:t>Bajo</w:t>
            </w:r>
          </w:p>
        </w:tc>
      </w:tr>
      <w:tr w:rsidR="006F0C9D" w:rsidRPr="008A5F4B" w14:paraId="1FF87BFE"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8" w14:textId="77777777" w:rsidR="006F0C9D" w:rsidRPr="008A5F4B" w:rsidRDefault="00000000" w:rsidP="008A5F4B">
            <w:pPr>
              <w:spacing w:line="280" w:lineRule="auto"/>
              <w:jc w:val="both"/>
            </w:pPr>
            <w:r w:rsidRPr="008A5F4B">
              <w:rPr>
                <w:sz w:val="22"/>
                <w:szCs w:val="22"/>
              </w:rPr>
              <w:t>C2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9" w14:textId="77777777" w:rsidR="006F0C9D" w:rsidRPr="008A5F4B" w:rsidRDefault="00000000" w:rsidP="008A5F4B">
            <w:pPr>
              <w:spacing w:line="280" w:lineRule="auto"/>
              <w:jc w:val="both"/>
            </w:pPr>
            <w:r w:rsidRPr="008A5F4B">
              <w:rPr>
                <w:sz w:val="22"/>
                <w:szCs w:val="22"/>
              </w:rPr>
              <w:t>21.318 (25.0%)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A" w14:textId="77777777" w:rsidR="006F0C9D" w:rsidRPr="008A5F4B" w:rsidRDefault="00000000" w:rsidP="008A5F4B">
            <w:pPr>
              <w:spacing w:line="280" w:lineRule="auto"/>
              <w:jc w:val="both"/>
            </w:pPr>
            <w:r w:rsidRPr="008A5F4B">
              <w:rPr>
                <w:sz w:val="22"/>
                <w:szCs w:val="22"/>
              </w:rPr>
              <w:t>-3.8 pp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B" w14:textId="77777777" w:rsidR="006F0C9D" w:rsidRPr="008A5F4B" w:rsidRDefault="00000000" w:rsidP="008A5F4B">
            <w:pPr>
              <w:spacing w:line="280" w:lineRule="auto"/>
              <w:jc w:val="both"/>
            </w:pPr>
            <w:r w:rsidRPr="008A5F4B">
              <w:rPr>
                <w:sz w:val="22"/>
                <w:szCs w:val="22"/>
              </w:rPr>
              <w:t>0.682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C" w14:textId="77777777" w:rsidR="006F0C9D" w:rsidRPr="008A5F4B" w:rsidRDefault="00000000" w:rsidP="008A5F4B">
            <w:pPr>
              <w:spacing w:line="280" w:lineRule="auto"/>
              <w:jc w:val="both"/>
            </w:pPr>
            <w:r w:rsidRPr="008A5F4B">
              <w:rPr>
                <w:sz w:val="22"/>
                <w:szCs w:val="22"/>
              </w:rPr>
              <w:t>Leve a moderado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D" w14:textId="77777777" w:rsidR="006F0C9D" w:rsidRPr="008A5F4B" w:rsidRDefault="00000000" w:rsidP="008A5F4B">
            <w:pPr>
              <w:spacing w:line="280" w:lineRule="auto"/>
              <w:jc w:val="both"/>
            </w:pPr>
            <w:r w:rsidRPr="008A5F4B">
              <w:rPr>
                <w:sz w:val="22"/>
                <w:szCs w:val="22"/>
              </w:rPr>
              <w:t>Bajo</w:t>
            </w:r>
          </w:p>
        </w:tc>
      </w:tr>
      <w:tr w:rsidR="006F0C9D" w:rsidRPr="008A5F4B" w14:paraId="1AB974E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E" w14:textId="77777777" w:rsidR="006F0C9D" w:rsidRPr="008A5F4B" w:rsidRDefault="00000000" w:rsidP="008A5F4B">
            <w:pPr>
              <w:spacing w:line="280" w:lineRule="auto"/>
              <w:jc w:val="both"/>
            </w:pPr>
            <w:r w:rsidRPr="008A5F4B">
              <w:rPr>
                <w:sz w:val="22"/>
                <w:szCs w:val="22"/>
              </w:rPr>
              <w:t>C3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8F" w14:textId="77777777" w:rsidR="006F0C9D" w:rsidRPr="008A5F4B" w:rsidRDefault="00000000" w:rsidP="008A5F4B">
            <w:pPr>
              <w:spacing w:line="280" w:lineRule="auto"/>
              <w:jc w:val="both"/>
            </w:pPr>
            <w:r w:rsidRPr="008A5F4B">
              <w:rPr>
                <w:sz w:val="22"/>
                <w:szCs w:val="22"/>
              </w:rPr>
              <w:t>3.662  (4.3%)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0" w14:textId="77777777" w:rsidR="006F0C9D" w:rsidRPr="008A5F4B" w:rsidRDefault="00000000" w:rsidP="008A5F4B">
            <w:pPr>
              <w:spacing w:line="280" w:lineRule="auto"/>
              <w:jc w:val="both"/>
            </w:pPr>
            <w:r w:rsidRPr="008A5F4B">
              <w:rPr>
                <w:sz w:val="22"/>
                <w:szCs w:val="22"/>
              </w:rPr>
              <w:t>-7.9 pp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1" w14:textId="77777777" w:rsidR="006F0C9D" w:rsidRPr="008A5F4B" w:rsidRDefault="00000000" w:rsidP="008A5F4B">
            <w:pPr>
              <w:spacing w:line="280" w:lineRule="auto"/>
              <w:jc w:val="both"/>
            </w:pPr>
            <w:r w:rsidRPr="008A5F4B">
              <w:rPr>
                <w:sz w:val="22"/>
                <w:szCs w:val="22"/>
              </w:rPr>
              <w:t>0.419</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2" w14:textId="77777777" w:rsidR="006F0C9D" w:rsidRPr="008A5F4B" w:rsidRDefault="00000000" w:rsidP="008A5F4B">
            <w:pPr>
              <w:spacing w:line="280" w:lineRule="auto"/>
              <w:jc w:val="both"/>
            </w:pPr>
            <w:r w:rsidRPr="008A5F4B">
              <w:rPr>
                <w:sz w:val="22"/>
                <w:szCs w:val="22"/>
              </w:rPr>
              <w:t>Profundo simétrico (nadir 25%)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3" w14:textId="77777777" w:rsidR="006F0C9D" w:rsidRPr="008A5F4B" w:rsidRDefault="00000000" w:rsidP="008A5F4B">
            <w:pPr>
              <w:spacing w:line="280" w:lineRule="auto"/>
              <w:jc w:val="both"/>
            </w:pPr>
            <w:r w:rsidRPr="008A5F4B">
              <w:rPr>
                <w:sz w:val="22"/>
                <w:szCs w:val="22"/>
              </w:rPr>
              <w:t>Alto</w:t>
            </w:r>
          </w:p>
        </w:tc>
      </w:tr>
      <w:tr w:rsidR="006F0C9D" w:rsidRPr="008A5F4B" w14:paraId="57C75DA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4" w14:textId="77777777" w:rsidR="006F0C9D" w:rsidRPr="008A5F4B" w:rsidRDefault="00000000" w:rsidP="008A5F4B">
            <w:pPr>
              <w:spacing w:line="280" w:lineRule="auto"/>
              <w:jc w:val="both"/>
            </w:pPr>
            <w:r w:rsidRPr="008A5F4B">
              <w:rPr>
                <w:sz w:val="22"/>
                <w:szCs w:val="22"/>
              </w:rPr>
              <w:t>C4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5" w14:textId="77777777" w:rsidR="006F0C9D" w:rsidRPr="008A5F4B" w:rsidRDefault="00000000" w:rsidP="008A5F4B">
            <w:pPr>
              <w:spacing w:line="280" w:lineRule="auto"/>
              <w:jc w:val="both"/>
            </w:pPr>
            <w:r w:rsidRPr="008A5F4B">
              <w:rPr>
                <w:sz w:val="22"/>
                <w:szCs w:val="22"/>
              </w:rPr>
              <w:t>4.301  (5.0%)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6" w14:textId="77777777" w:rsidR="006F0C9D" w:rsidRPr="008A5F4B" w:rsidRDefault="00000000" w:rsidP="008A5F4B">
            <w:pPr>
              <w:spacing w:line="280" w:lineRule="auto"/>
              <w:jc w:val="both"/>
            </w:pPr>
            <w:r w:rsidRPr="008A5F4B">
              <w:rPr>
                <w:sz w:val="22"/>
                <w:szCs w:val="22"/>
              </w:rPr>
              <w:t>-8.6 pp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7" w14:textId="77777777" w:rsidR="006F0C9D" w:rsidRPr="008A5F4B" w:rsidRDefault="00000000" w:rsidP="008A5F4B">
            <w:pPr>
              <w:spacing w:line="280" w:lineRule="auto"/>
              <w:jc w:val="both"/>
            </w:pPr>
            <w:r w:rsidRPr="008A5F4B">
              <w:rPr>
                <w:sz w:val="22"/>
                <w:szCs w:val="22"/>
              </w:rPr>
              <w:t>0.476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8" w14:textId="77777777" w:rsidR="006F0C9D" w:rsidRPr="008A5F4B" w:rsidRDefault="00000000" w:rsidP="008A5F4B">
            <w:pPr>
              <w:spacing w:line="280" w:lineRule="auto"/>
              <w:jc w:val="both"/>
            </w:pPr>
            <w:r w:rsidRPr="008A5F4B">
              <w:rPr>
                <w:sz w:val="22"/>
                <w:szCs w:val="22"/>
              </w:rPr>
              <w:t>Profundo tardío (nadir 75%)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9" w14:textId="77777777" w:rsidR="006F0C9D" w:rsidRPr="008A5F4B" w:rsidRDefault="00000000" w:rsidP="008A5F4B">
            <w:pPr>
              <w:spacing w:line="280" w:lineRule="auto"/>
              <w:jc w:val="both"/>
            </w:pPr>
            <w:r w:rsidRPr="008A5F4B">
              <w:rPr>
                <w:sz w:val="22"/>
                <w:szCs w:val="22"/>
              </w:rPr>
              <w:t>Alto</w:t>
            </w:r>
          </w:p>
        </w:tc>
      </w:tr>
      <w:tr w:rsidR="006F0C9D" w:rsidRPr="008A5F4B" w14:paraId="16616475"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A" w14:textId="77777777" w:rsidR="006F0C9D" w:rsidRPr="008A5F4B" w:rsidRDefault="00000000" w:rsidP="008A5F4B">
            <w:pPr>
              <w:spacing w:line="280" w:lineRule="auto"/>
              <w:jc w:val="both"/>
            </w:pPr>
            <w:r w:rsidRPr="008A5F4B">
              <w:rPr>
                <w:sz w:val="22"/>
                <w:szCs w:val="22"/>
              </w:rPr>
              <w:t>C5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B" w14:textId="77777777" w:rsidR="006F0C9D" w:rsidRPr="008A5F4B" w:rsidRDefault="00000000" w:rsidP="008A5F4B">
            <w:pPr>
              <w:spacing w:line="280" w:lineRule="auto"/>
              <w:jc w:val="both"/>
            </w:pPr>
            <w:r w:rsidRPr="008A5F4B">
              <w:rPr>
                <w:sz w:val="22"/>
                <w:szCs w:val="22"/>
              </w:rPr>
              <w:t>821    (1.0%)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C" w14:textId="77777777" w:rsidR="006F0C9D" w:rsidRPr="008A5F4B" w:rsidRDefault="00000000" w:rsidP="008A5F4B">
            <w:pPr>
              <w:spacing w:line="280" w:lineRule="auto"/>
              <w:jc w:val="both"/>
            </w:pPr>
            <w:r w:rsidRPr="008A5F4B">
              <w:rPr>
                <w:sz w:val="22"/>
                <w:szCs w:val="22"/>
              </w:rPr>
              <w:t>-15.3 pp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D" w14:textId="77777777" w:rsidR="006F0C9D" w:rsidRPr="008A5F4B" w:rsidRDefault="00000000" w:rsidP="008A5F4B">
            <w:pPr>
              <w:spacing w:line="280" w:lineRule="auto"/>
              <w:jc w:val="both"/>
            </w:pPr>
            <w:r w:rsidRPr="008A5F4B">
              <w:rPr>
                <w:sz w:val="22"/>
                <w:szCs w:val="22"/>
              </w:rPr>
              <w:t>0.505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E" w14:textId="77777777" w:rsidR="006F0C9D" w:rsidRPr="008A5F4B" w:rsidRDefault="00000000" w:rsidP="008A5F4B">
            <w:pPr>
              <w:spacing w:line="280" w:lineRule="auto"/>
              <w:jc w:val="both"/>
            </w:pPr>
            <w:r w:rsidRPr="008A5F4B">
              <w:rPr>
                <w:sz w:val="22"/>
                <w:szCs w:val="22"/>
              </w:rPr>
              <w:t>Severo prolongado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9F" w14:textId="77777777" w:rsidR="006F0C9D" w:rsidRPr="008A5F4B" w:rsidRDefault="00000000" w:rsidP="008A5F4B">
            <w:pPr>
              <w:spacing w:line="280" w:lineRule="auto"/>
              <w:jc w:val="both"/>
            </w:pPr>
            <w:r w:rsidRPr="008A5F4B">
              <w:rPr>
                <w:sz w:val="22"/>
                <w:szCs w:val="22"/>
              </w:rPr>
              <w:t>Alto</w:t>
            </w:r>
          </w:p>
        </w:tc>
      </w:tr>
    </w:tbl>
    <w:p w14:paraId="000000A0" w14:textId="77777777" w:rsidR="006F0C9D" w:rsidRPr="008A5F4B" w:rsidRDefault="00000000" w:rsidP="008A5F4B">
      <w:pPr>
        <w:spacing w:before="60" w:after="180" w:line="300" w:lineRule="auto"/>
        <w:jc w:val="both"/>
      </w:pPr>
      <w:r w:rsidRPr="008A5F4B">
        <w:rPr>
          <w:i/>
          <w:iCs/>
          <w:sz w:val="22"/>
          <w:szCs w:val="22"/>
        </w:rPr>
        <w:t>ICC(1,1): coeficiente de correlación intraclase inter-noche; pp: puntos porcentuales.</w:t>
      </w:r>
    </w:p>
    <w:p w14:paraId="000000A1" w14:textId="77777777" w:rsidR="006F0C9D" w:rsidRPr="008A5F4B" w:rsidRDefault="00000000" w:rsidP="008A5F4B">
      <w:pPr>
        <w:spacing w:after="120" w:line="360" w:lineRule="auto"/>
        <w:jc w:val="both"/>
      </w:pPr>
      <w:sdt>
        <w:sdtPr>
          <w:tag w:val="goog_rdk_10"/>
          <w:id w:val="-2003935004"/>
        </w:sdtPr>
        <w:sdtContent>
          <w:r w:rsidRPr="008A5F4B">
            <w:rPr>
              <w:rFonts w:eastAsia="Gungsuh"/>
            </w:rPr>
            <w:t>La distribución de eventos es marcadamente asimétrica: C1 y C2 concentran el 89.7% de los casos. C3 presenta un nadir temprano al 25% del evento (−7.9 pp); C4, una desaturación progresiva con nadir tardío al 75% (−8.6 pp); C5, una desaturación severa y prolongada (−15.3 pp). La distinción entre C3 y C4 —nadires de profundidad similar pero en posiciones temporales opuestas— es invisible para cualquier índice basado exclusivamente en amplitud o duración.</w:t>
          </w:r>
        </w:sdtContent>
      </w:sdt>
    </w:p>
    <w:p w14:paraId="000000A2" w14:textId="77777777" w:rsidR="006F0C9D" w:rsidRPr="008A5F4B" w:rsidRDefault="00000000" w:rsidP="008A5F4B">
      <w:pPr>
        <w:pStyle w:val="Ttulo2"/>
        <w:spacing w:line="360" w:lineRule="auto"/>
        <w:jc w:val="both"/>
        <w:rPr>
          <w:color w:val="auto"/>
        </w:rPr>
      </w:pPr>
      <w:r w:rsidRPr="008A5F4B">
        <w:rPr>
          <w:color w:val="auto"/>
        </w:rPr>
        <w:t>3.4 ARI como dimensión fisiológica ortogonal</w:t>
      </w:r>
    </w:p>
    <w:p w14:paraId="000000A3" w14:textId="77777777" w:rsidR="006F0C9D" w:rsidRPr="008A5F4B" w:rsidRDefault="00000000" w:rsidP="008A5F4B">
      <w:pPr>
        <w:spacing w:after="120" w:line="360" w:lineRule="auto"/>
        <w:jc w:val="both"/>
      </w:pPr>
      <w:sdt>
        <w:sdtPr>
          <w:tag w:val="goog_rdk_11"/>
          <w:id w:val="345557900"/>
        </w:sdtPr>
        <w:sdtContent>
          <w:r w:rsidRPr="008A5F4B">
            <w:rPr>
              <w:rFonts w:eastAsia="Cardo"/>
            </w:rPr>
            <w:t>El hallazgo práctico es que la severidad de la caída de oxígeno y la respuesta autonómica no son lo mismo. El ARI no guarda relación con cuán profunda fue la caída de oxígeno: la correlación entre ambas variables es prácticamente nula (ρ=0.034; el coeficiente ρ varía entre −1 y +1, donde 0 indica ausencia total de relación). En términos clínicos concretos, conocer la severidad del evento no permite predecir el ARI, ni viceversa. Un paciente con muchos eventos severos puede tener una respuesta autonómica completamente preservada; otro con eventos leves puede mostrarla completamente atenuada. Esto se confirma también al intentar usar el ARI para distinguir eventos severos de no severos: el resultado es prácticamente indistinguible del azar (AUC=0.453, Figura 4), confirmando la ausencia de relación predictiva. La Figura 5 ilustra visualmente esta independencia: el ARI se mantiene prácticamente constante (0.44–0.52) sin importar cuál sea el morfotipo.</w:t>
          </w:r>
        </w:sdtContent>
      </w:sdt>
    </w:p>
    <w:p w14:paraId="000000A4" w14:textId="77777777" w:rsidR="006F0C9D" w:rsidRPr="008A5F4B" w:rsidRDefault="00000000" w:rsidP="008A5F4B">
      <w:pPr>
        <w:pStyle w:val="Ttulo2"/>
        <w:spacing w:line="360" w:lineRule="auto"/>
        <w:jc w:val="both"/>
        <w:rPr>
          <w:color w:val="auto"/>
        </w:rPr>
      </w:pPr>
      <w:r w:rsidRPr="008A5F4B">
        <w:rPr>
          <w:color w:val="auto"/>
        </w:rPr>
        <w:lastRenderedPageBreak/>
        <w:t>3.5 Perfiles fisiológicos multimodales</w:t>
      </w:r>
    </w:p>
    <w:p w14:paraId="000000A5" w14:textId="77777777" w:rsidR="006F0C9D" w:rsidRPr="008A5F4B" w:rsidRDefault="00000000" w:rsidP="008A5F4B">
      <w:pPr>
        <w:spacing w:after="120" w:line="360" w:lineRule="auto"/>
        <w:jc w:val="both"/>
      </w:pPr>
      <w:sdt>
        <w:sdtPr>
          <w:tag w:val="goog_rdk_12"/>
          <w:id w:val="809814092"/>
        </w:sdtPr>
        <w:sdtContent>
          <w:r w:rsidRPr="008A5F4B">
            <w:rPr>
              <w:rFonts w:eastAsia="Cardo"/>
            </w:rPr>
            <w:t>La ganancia de FC (ΔHR/ΔSpO₂, es decir, cuántos latidos por minuto aumenta el corazón por cada punto porcentual que cae la SpO₂) fue decreciente con la severidad del cluster: C1=0.63, C2=0.53, C3=0.21, C4=0.31, C5=0.04 lpm/pp. Llamativamente, C5 exhibe prácticamente respuesta nula (silencio autonómico) a pesar de nadires de −15.3 pp. La Tabla 3 resume los valores de ARI y ganancia de FC por morfotipo. Estos hallazgos sugieren que, ante una caída severa de oxígeno, la ausencia de respuesta autonómica no refleja un evento menos grave sino, al contrario, un sistema que ya no estaría reaccionando.</w:t>
          </w:r>
        </w:sdtContent>
      </w:sdt>
    </w:p>
    <w:p w14:paraId="000000A6" w14:textId="77777777" w:rsidR="006F0C9D" w:rsidRPr="008A5F4B" w:rsidRDefault="006F0C9D" w:rsidP="008A5F4B">
      <w:pPr>
        <w:spacing w:line="360" w:lineRule="auto"/>
        <w:jc w:val="both"/>
      </w:pPr>
    </w:p>
    <w:p w14:paraId="000000A7" w14:textId="77777777" w:rsidR="006F0C9D" w:rsidRPr="008A5F4B" w:rsidRDefault="00000000" w:rsidP="008A5F4B">
      <w:pPr>
        <w:spacing w:after="80" w:line="360" w:lineRule="auto"/>
        <w:jc w:val="both"/>
      </w:pPr>
      <w:r w:rsidRPr="008A5F4B">
        <w:rPr>
          <w:b/>
          <w:bCs/>
        </w:rPr>
        <w:t>Tabla 3. ARI y ganancia de FC por morfotipo.</w:t>
      </w:r>
    </w:p>
    <w:tbl>
      <w:tblPr>
        <w:tblStyle w:val="a1"/>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700"/>
        <w:gridCol w:w="1400"/>
        <w:gridCol w:w="1600"/>
        <w:gridCol w:w="3200"/>
      </w:tblGrid>
      <w:tr w:rsidR="006F0C9D" w:rsidRPr="008A5F4B" w14:paraId="31578F3B"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A8" w14:textId="77777777" w:rsidR="006F0C9D" w:rsidRPr="008A5F4B" w:rsidRDefault="00000000" w:rsidP="008A5F4B">
            <w:pPr>
              <w:spacing w:line="280" w:lineRule="auto"/>
              <w:jc w:val="both"/>
            </w:pPr>
            <w:r w:rsidRPr="008A5F4B">
              <w:rPr>
                <w:b/>
                <w:bCs/>
                <w:sz w:val="22"/>
                <w:szCs w:val="22"/>
              </w:rPr>
              <w:t>Cluster</w:t>
            </w:r>
          </w:p>
        </w:tc>
        <w:tc>
          <w:tcPr>
            <w:tcW w:w="17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A9" w14:textId="77777777" w:rsidR="006F0C9D" w:rsidRPr="008A5F4B" w:rsidRDefault="00000000" w:rsidP="008A5F4B">
            <w:pPr>
              <w:spacing w:line="280" w:lineRule="auto"/>
              <w:jc w:val="both"/>
            </w:pPr>
            <w:r w:rsidRPr="008A5F4B">
              <w:rPr>
                <w:b/>
                <w:bCs/>
                <w:sz w:val="22"/>
                <w:szCs w:val="22"/>
              </w:rPr>
              <w:t>ARI media ± DE</w:t>
            </w:r>
          </w:p>
        </w:tc>
        <w:tc>
          <w:tcPr>
            <w:tcW w:w="14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AA" w14:textId="77777777" w:rsidR="006F0C9D" w:rsidRPr="008A5F4B" w:rsidRDefault="00000000" w:rsidP="008A5F4B">
            <w:pPr>
              <w:spacing w:line="280" w:lineRule="auto"/>
              <w:jc w:val="both"/>
            </w:pPr>
            <w:r w:rsidRPr="008A5F4B">
              <w:rPr>
                <w:b/>
                <w:bCs/>
                <w:sz w:val="22"/>
                <w:szCs w:val="22"/>
              </w:rPr>
              <w:t>ARI mediana</w:t>
            </w:r>
          </w:p>
        </w:tc>
        <w:tc>
          <w:tcPr>
            <w:tcW w:w="16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AB" w14:textId="77777777" w:rsidR="006F0C9D" w:rsidRPr="008A5F4B" w:rsidRDefault="00000000" w:rsidP="008A5F4B">
            <w:pPr>
              <w:spacing w:line="280" w:lineRule="auto"/>
              <w:jc w:val="both"/>
            </w:pPr>
            <w:r w:rsidRPr="008A5F4B">
              <w:rPr>
                <w:b/>
                <w:bCs/>
                <w:sz w:val="22"/>
                <w:szCs w:val="22"/>
              </w:rPr>
              <w:t>Ganancia FC (lpm/pp)</w:t>
            </w:r>
          </w:p>
        </w:tc>
        <w:tc>
          <w:tcPr>
            <w:tcW w:w="32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AC" w14:textId="77777777" w:rsidR="006F0C9D" w:rsidRPr="008A5F4B" w:rsidRDefault="00000000" w:rsidP="008A5F4B">
            <w:pPr>
              <w:spacing w:line="280" w:lineRule="auto"/>
              <w:jc w:val="both"/>
            </w:pPr>
            <w:r w:rsidRPr="008A5F4B">
              <w:rPr>
                <w:b/>
                <w:bCs/>
                <w:sz w:val="22"/>
                <w:szCs w:val="22"/>
              </w:rPr>
              <w:t>Interpretación autonómica</w:t>
            </w:r>
          </w:p>
        </w:tc>
      </w:tr>
      <w:tr w:rsidR="006F0C9D" w:rsidRPr="008A5F4B" w14:paraId="071EA327"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AD" w14:textId="77777777" w:rsidR="006F0C9D" w:rsidRPr="008A5F4B" w:rsidRDefault="00000000" w:rsidP="008A5F4B">
            <w:pPr>
              <w:spacing w:line="280" w:lineRule="auto"/>
              <w:jc w:val="both"/>
            </w:pPr>
            <w:r w:rsidRPr="008A5F4B">
              <w:rPr>
                <w:sz w:val="22"/>
                <w:szCs w:val="22"/>
              </w:rPr>
              <w:t>C1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AE" w14:textId="77777777" w:rsidR="006F0C9D" w:rsidRPr="008A5F4B" w:rsidRDefault="00000000" w:rsidP="008A5F4B">
            <w:pPr>
              <w:spacing w:line="280" w:lineRule="auto"/>
              <w:jc w:val="both"/>
            </w:pPr>
            <w:r w:rsidRPr="008A5F4B">
              <w:rPr>
                <w:sz w:val="22"/>
                <w:szCs w:val="22"/>
              </w:rPr>
              <w:t>0.491 ± 0.205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AF" w14:textId="77777777" w:rsidR="006F0C9D" w:rsidRPr="008A5F4B" w:rsidRDefault="00000000" w:rsidP="008A5F4B">
            <w:pPr>
              <w:spacing w:line="280" w:lineRule="auto"/>
              <w:jc w:val="both"/>
            </w:pPr>
            <w:r w:rsidRPr="008A5F4B">
              <w:rPr>
                <w:sz w:val="22"/>
                <w:szCs w:val="22"/>
              </w:rPr>
              <w:t>0.502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0" w14:textId="77777777" w:rsidR="006F0C9D" w:rsidRPr="008A5F4B" w:rsidRDefault="00000000" w:rsidP="008A5F4B">
            <w:pPr>
              <w:spacing w:line="280" w:lineRule="auto"/>
              <w:jc w:val="both"/>
            </w:pPr>
            <w:r w:rsidRPr="008A5F4B">
              <w:rPr>
                <w:sz w:val="22"/>
                <w:szCs w:val="22"/>
              </w:rPr>
              <w:t>0.633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1" w14:textId="77777777" w:rsidR="006F0C9D" w:rsidRPr="008A5F4B" w:rsidRDefault="00000000" w:rsidP="008A5F4B">
            <w:pPr>
              <w:spacing w:line="280" w:lineRule="auto"/>
              <w:jc w:val="both"/>
            </w:pPr>
            <w:r w:rsidRPr="008A5F4B">
              <w:rPr>
                <w:sz w:val="22"/>
                <w:szCs w:val="22"/>
              </w:rPr>
              <w:t>Respuesta proporcional normal</w:t>
            </w:r>
          </w:p>
        </w:tc>
      </w:tr>
      <w:tr w:rsidR="006F0C9D" w:rsidRPr="008A5F4B" w14:paraId="3D65C50B"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2" w14:textId="77777777" w:rsidR="006F0C9D" w:rsidRPr="008A5F4B" w:rsidRDefault="00000000" w:rsidP="008A5F4B">
            <w:pPr>
              <w:spacing w:line="280" w:lineRule="auto"/>
              <w:jc w:val="both"/>
            </w:pPr>
            <w:r w:rsidRPr="008A5F4B">
              <w:rPr>
                <w:sz w:val="22"/>
                <w:szCs w:val="22"/>
              </w:rPr>
              <w:t>C2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3" w14:textId="77777777" w:rsidR="006F0C9D" w:rsidRPr="008A5F4B" w:rsidRDefault="00000000" w:rsidP="008A5F4B">
            <w:pPr>
              <w:spacing w:line="280" w:lineRule="auto"/>
              <w:jc w:val="both"/>
            </w:pPr>
            <w:r w:rsidRPr="008A5F4B">
              <w:rPr>
                <w:sz w:val="22"/>
                <w:szCs w:val="22"/>
              </w:rPr>
              <w:t>0.526 ± 0.185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4" w14:textId="77777777" w:rsidR="006F0C9D" w:rsidRPr="008A5F4B" w:rsidRDefault="00000000" w:rsidP="008A5F4B">
            <w:pPr>
              <w:spacing w:line="280" w:lineRule="auto"/>
              <w:jc w:val="both"/>
            </w:pPr>
            <w:r w:rsidRPr="008A5F4B">
              <w:rPr>
                <w:sz w:val="22"/>
                <w:szCs w:val="22"/>
              </w:rPr>
              <w:t>0.522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5" w14:textId="77777777" w:rsidR="006F0C9D" w:rsidRPr="008A5F4B" w:rsidRDefault="00000000" w:rsidP="008A5F4B">
            <w:pPr>
              <w:spacing w:line="280" w:lineRule="auto"/>
              <w:jc w:val="both"/>
            </w:pPr>
            <w:r w:rsidRPr="008A5F4B">
              <w:rPr>
                <w:sz w:val="22"/>
                <w:szCs w:val="22"/>
              </w:rPr>
              <w:t>0.528</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6" w14:textId="77777777" w:rsidR="006F0C9D" w:rsidRPr="008A5F4B" w:rsidRDefault="00000000" w:rsidP="008A5F4B">
            <w:pPr>
              <w:spacing w:line="280" w:lineRule="auto"/>
              <w:jc w:val="both"/>
            </w:pPr>
            <w:r w:rsidRPr="008A5F4B">
              <w:rPr>
                <w:sz w:val="22"/>
                <w:szCs w:val="22"/>
              </w:rPr>
              <w:t>Respuesta activa, levemente elevada</w:t>
            </w:r>
          </w:p>
        </w:tc>
      </w:tr>
      <w:tr w:rsidR="006F0C9D" w:rsidRPr="008A5F4B" w14:paraId="0445017B"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7" w14:textId="77777777" w:rsidR="006F0C9D" w:rsidRPr="008A5F4B" w:rsidRDefault="00000000" w:rsidP="008A5F4B">
            <w:pPr>
              <w:spacing w:line="280" w:lineRule="auto"/>
              <w:jc w:val="both"/>
            </w:pPr>
            <w:r w:rsidRPr="008A5F4B">
              <w:rPr>
                <w:sz w:val="22"/>
                <w:szCs w:val="22"/>
              </w:rPr>
              <w:t>C3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8" w14:textId="77777777" w:rsidR="006F0C9D" w:rsidRPr="008A5F4B" w:rsidRDefault="00000000" w:rsidP="008A5F4B">
            <w:pPr>
              <w:spacing w:line="280" w:lineRule="auto"/>
              <w:jc w:val="both"/>
            </w:pPr>
            <w:r w:rsidRPr="008A5F4B">
              <w:rPr>
                <w:sz w:val="22"/>
                <w:szCs w:val="22"/>
              </w:rPr>
              <w:t>0.509 ± 0.146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9" w14:textId="77777777" w:rsidR="006F0C9D" w:rsidRPr="008A5F4B" w:rsidRDefault="00000000" w:rsidP="008A5F4B">
            <w:pPr>
              <w:spacing w:line="280" w:lineRule="auto"/>
              <w:jc w:val="both"/>
            </w:pPr>
            <w:r w:rsidRPr="008A5F4B">
              <w:rPr>
                <w:sz w:val="22"/>
                <w:szCs w:val="22"/>
              </w:rPr>
              <w:t>0.490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A" w14:textId="77777777" w:rsidR="006F0C9D" w:rsidRPr="008A5F4B" w:rsidRDefault="00000000" w:rsidP="008A5F4B">
            <w:pPr>
              <w:spacing w:line="280" w:lineRule="auto"/>
              <w:jc w:val="both"/>
            </w:pPr>
            <w:r w:rsidRPr="008A5F4B">
              <w:rPr>
                <w:sz w:val="22"/>
                <w:szCs w:val="22"/>
              </w:rPr>
              <w:t>0.209</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B" w14:textId="77777777" w:rsidR="006F0C9D" w:rsidRPr="008A5F4B" w:rsidRDefault="00000000" w:rsidP="008A5F4B">
            <w:pPr>
              <w:spacing w:line="280" w:lineRule="auto"/>
              <w:jc w:val="both"/>
            </w:pPr>
            <w:r w:rsidRPr="008A5F4B">
              <w:rPr>
                <w:sz w:val="22"/>
                <w:szCs w:val="22"/>
              </w:rPr>
              <w:t>Respuesta atenuada</w:t>
            </w:r>
          </w:p>
        </w:tc>
      </w:tr>
      <w:tr w:rsidR="006F0C9D" w:rsidRPr="008A5F4B" w14:paraId="66566DE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C" w14:textId="77777777" w:rsidR="006F0C9D" w:rsidRPr="008A5F4B" w:rsidRDefault="00000000" w:rsidP="008A5F4B">
            <w:pPr>
              <w:spacing w:line="280" w:lineRule="auto"/>
              <w:jc w:val="both"/>
            </w:pPr>
            <w:r w:rsidRPr="008A5F4B">
              <w:rPr>
                <w:sz w:val="22"/>
                <w:szCs w:val="22"/>
              </w:rPr>
              <w:t>C4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D" w14:textId="77777777" w:rsidR="006F0C9D" w:rsidRPr="008A5F4B" w:rsidRDefault="00000000" w:rsidP="008A5F4B">
            <w:pPr>
              <w:spacing w:line="280" w:lineRule="auto"/>
              <w:jc w:val="both"/>
            </w:pPr>
            <w:r w:rsidRPr="008A5F4B">
              <w:rPr>
                <w:sz w:val="22"/>
                <w:szCs w:val="22"/>
              </w:rPr>
              <w:t>0.489 ± 0.143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E" w14:textId="77777777" w:rsidR="006F0C9D" w:rsidRPr="008A5F4B" w:rsidRDefault="00000000" w:rsidP="008A5F4B">
            <w:pPr>
              <w:spacing w:line="280" w:lineRule="auto"/>
              <w:jc w:val="both"/>
            </w:pPr>
            <w:r w:rsidRPr="008A5F4B">
              <w:rPr>
                <w:sz w:val="22"/>
                <w:szCs w:val="22"/>
              </w:rPr>
              <w:t>0.480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BF" w14:textId="77777777" w:rsidR="006F0C9D" w:rsidRPr="008A5F4B" w:rsidRDefault="00000000" w:rsidP="008A5F4B">
            <w:pPr>
              <w:spacing w:line="280" w:lineRule="auto"/>
              <w:jc w:val="both"/>
            </w:pPr>
            <w:r w:rsidRPr="008A5F4B">
              <w:rPr>
                <w:sz w:val="22"/>
                <w:szCs w:val="22"/>
              </w:rPr>
              <w:t>0.307</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C0" w14:textId="77777777" w:rsidR="006F0C9D" w:rsidRPr="008A5F4B" w:rsidRDefault="00000000" w:rsidP="008A5F4B">
            <w:pPr>
              <w:spacing w:line="280" w:lineRule="auto"/>
              <w:jc w:val="both"/>
            </w:pPr>
            <w:r w:rsidRPr="008A5F4B">
              <w:rPr>
                <w:sz w:val="22"/>
                <w:szCs w:val="22"/>
              </w:rPr>
              <w:t>Respuesta reducida</w:t>
            </w:r>
          </w:p>
        </w:tc>
      </w:tr>
      <w:tr w:rsidR="006F0C9D" w:rsidRPr="008A5F4B" w14:paraId="1CC3F75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C1" w14:textId="77777777" w:rsidR="006F0C9D" w:rsidRPr="008A5F4B" w:rsidRDefault="00000000" w:rsidP="008A5F4B">
            <w:pPr>
              <w:spacing w:line="280" w:lineRule="auto"/>
              <w:jc w:val="both"/>
            </w:pPr>
            <w:r w:rsidRPr="008A5F4B">
              <w:rPr>
                <w:sz w:val="22"/>
                <w:szCs w:val="22"/>
              </w:rPr>
              <w:t>C5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C2" w14:textId="77777777" w:rsidR="006F0C9D" w:rsidRPr="008A5F4B" w:rsidRDefault="00000000" w:rsidP="008A5F4B">
            <w:pPr>
              <w:spacing w:line="280" w:lineRule="auto"/>
              <w:jc w:val="both"/>
            </w:pPr>
            <w:r w:rsidRPr="008A5F4B">
              <w:rPr>
                <w:sz w:val="22"/>
                <w:szCs w:val="22"/>
              </w:rPr>
              <w:t>0.422 ± 0.105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C3" w14:textId="77777777" w:rsidR="006F0C9D" w:rsidRPr="008A5F4B" w:rsidRDefault="00000000" w:rsidP="008A5F4B">
            <w:pPr>
              <w:spacing w:line="280" w:lineRule="auto"/>
              <w:jc w:val="both"/>
            </w:pPr>
            <w:r w:rsidRPr="008A5F4B">
              <w:rPr>
                <w:sz w:val="22"/>
                <w:szCs w:val="22"/>
              </w:rPr>
              <w:t>0.431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C4" w14:textId="77777777" w:rsidR="006F0C9D" w:rsidRPr="008A5F4B" w:rsidRDefault="00000000" w:rsidP="008A5F4B">
            <w:pPr>
              <w:spacing w:line="280" w:lineRule="auto"/>
              <w:jc w:val="both"/>
            </w:pPr>
            <w:r w:rsidRPr="008A5F4B">
              <w:rPr>
                <w:sz w:val="22"/>
                <w:szCs w:val="22"/>
              </w:rPr>
              <w:t>0.040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C5" w14:textId="77777777" w:rsidR="006F0C9D" w:rsidRPr="008A5F4B" w:rsidRDefault="00000000" w:rsidP="008A5F4B">
            <w:pPr>
              <w:spacing w:line="280" w:lineRule="auto"/>
              <w:jc w:val="both"/>
            </w:pPr>
            <w:r w:rsidRPr="008A5F4B">
              <w:rPr>
                <w:sz w:val="22"/>
                <w:szCs w:val="22"/>
              </w:rPr>
              <w:t>Silencio autonómico</w:t>
            </w:r>
          </w:p>
        </w:tc>
      </w:tr>
    </w:tbl>
    <w:p w14:paraId="000000C6" w14:textId="77777777" w:rsidR="006F0C9D" w:rsidRPr="008A5F4B" w:rsidRDefault="00000000" w:rsidP="008A5F4B">
      <w:pPr>
        <w:spacing w:before="60" w:after="180" w:line="300" w:lineRule="auto"/>
        <w:jc w:val="both"/>
      </w:pPr>
      <w:r w:rsidRPr="008A5F4B">
        <w:rPr>
          <w:i/>
          <w:iCs/>
          <w:sz w:val="22"/>
          <w:szCs w:val="22"/>
        </w:rPr>
        <w:t>ARI: Índice de Respuesta Autonómica (0–1). Ganancia FC: ΔHR/ΔSpO₂ (lpm/pp).</w:t>
      </w:r>
    </w:p>
    <w:p w14:paraId="000000C7" w14:textId="77777777" w:rsidR="006F0C9D" w:rsidRPr="008A5F4B" w:rsidRDefault="00000000" w:rsidP="008A5F4B">
      <w:pPr>
        <w:pStyle w:val="Ttulo2"/>
        <w:spacing w:line="360" w:lineRule="auto"/>
        <w:jc w:val="both"/>
        <w:rPr>
          <w:color w:val="auto"/>
        </w:rPr>
      </w:pPr>
      <w:r w:rsidRPr="008A5F4B">
        <w:rPr>
          <w:color w:val="auto"/>
        </w:rPr>
        <w:t>3.6 Validación clínica del ARI: análisis intra-estrato</w:t>
      </w:r>
    </w:p>
    <w:p w14:paraId="000000C8" w14:textId="77777777" w:rsidR="006F0C9D" w:rsidRPr="008A5F4B" w:rsidRDefault="00000000" w:rsidP="008A5F4B">
      <w:pPr>
        <w:spacing w:after="120" w:line="360" w:lineRule="auto"/>
        <w:jc w:val="both"/>
      </w:pPr>
      <w:r w:rsidRPr="008A5F4B">
        <w:t xml:space="preserve">El análisis intra-estrato evaluó si el ARI discrimina entre noches dentro de cada estrato de severidad definido por ODI3. La ganancia de FC fue consistentemente mayor en el subgrupo ARI alto en los cuatro estratos (p&lt;0.001 en todos los casos, Figura 6a), confirmando que el ARI captura una dimensión autonómica independiente de la severidad hipóxica. La fracción de eventos C4+C5 fue significativamente menor en el subgrupo ARI alto en los estratos Moderado (p&lt;0.001) y Muy grave (p&lt;0.01). </w:t>
      </w:r>
      <w:sdt>
        <w:sdtPr>
          <w:tag w:val="goog_rdk_13"/>
          <w:id w:val="1760922485"/>
        </w:sdtPr>
        <w:sdtContent/>
      </w:sdt>
      <w:r w:rsidRPr="008A5F4B">
        <w:t>El T90 fue significativamente menor en ARI alto en los estratos Leve (p&lt;0.01) y Moderado (p&lt;0.001). En conjunto, estos resultados sugieren que el ARI permite estratificar el riesgo autonómico dentro de cada nivel convencional de severidad: dos pacientes con igual ODI3 pero distinto ARI presentan respuestas cardiovasculares significativamente diferentes, información que el ODI3 por sí solo no captura.</w:t>
      </w:r>
    </w:p>
    <w:p w14:paraId="000000C9" w14:textId="77777777" w:rsidR="006F0C9D" w:rsidRPr="008A5F4B" w:rsidRDefault="00000000" w:rsidP="008A5F4B">
      <w:pPr>
        <w:pStyle w:val="Ttulo2"/>
        <w:spacing w:line="360" w:lineRule="auto"/>
        <w:jc w:val="both"/>
        <w:rPr>
          <w:color w:val="auto"/>
        </w:rPr>
      </w:pPr>
      <w:r w:rsidRPr="008A5F4B">
        <w:rPr>
          <w:color w:val="auto"/>
        </w:rPr>
        <w:t>3.7 Relación con la severidad nocturna</w:t>
      </w:r>
    </w:p>
    <w:p w14:paraId="000000CA" w14:textId="77777777" w:rsidR="006F0C9D" w:rsidRPr="008A5F4B" w:rsidRDefault="00000000" w:rsidP="008A5F4B">
      <w:pPr>
        <w:spacing w:after="120" w:line="360" w:lineRule="auto"/>
        <w:jc w:val="both"/>
      </w:pPr>
      <w:r w:rsidRPr="008A5F4B">
        <w:lastRenderedPageBreak/>
        <w:t>A nivel nocturno, el ARI y el ODI3 muestran solo una asociación débil: aunque hay una leve tendencia a menor respuesta autonómica en las noches con más eventos, el ODI3 explica menos del 7% del ARI. La Tabla 4 lo ilustra con claridad: mientras el ODI3 se multiplica por once entre el estrato Leve y el Muy grave (de 3.8 a 40.9 ev/h), el ARI medio apenas varía de 0.519 a 0.486. Dos pacientes en extremos opuestos de severidad hipóxica pueden tener prácticamente el mismo ARI. Esto confirma que ambos índices miden dimensiones distintas de la misma enfermedad.</w:t>
      </w:r>
    </w:p>
    <w:p w14:paraId="000000CB" w14:textId="77777777" w:rsidR="006F0C9D" w:rsidRPr="008A5F4B" w:rsidRDefault="006F0C9D" w:rsidP="008A5F4B">
      <w:pPr>
        <w:spacing w:line="360" w:lineRule="auto"/>
        <w:jc w:val="both"/>
      </w:pPr>
    </w:p>
    <w:p w14:paraId="000000CC" w14:textId="77777777" w:rsidR="006F0C9D" w:rsidRPr="008A5F4B" w:rsidRDefault="00000000" w:rsidP="008A5F4B">
      <w:pPr>
        <w:spacing w:after="80" w:line="360" w:lineRule="auto"/>
        <w:jc w:val="both"/>
      </w:pPr>
      <w:r w:rsidRPr="008A5F4B">
        <w:rPr>
          <w:b/>
          <w:bCs/>
        </w:rPr>
        <w:t>Tabla 4. Métricas morfológicas y autonómicas por estrato de severidad (medianas).</w:t>
      </w:r>
    </w:p>
    <w:tbl>
      <w:tblPr>
        <w:tblStyle w:val="a2"/>
        <w:tblW w:w="8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600"/>
        <w:gridCol w:w="1600"/>
        <w:gridCol w:w="1600"/>
        <w:gridCol w:w="1600"/>
      </w:tblGrid>
      <w:tr w:rsidR="006F0C9D" w:rsidRPr="008A5F4B" w14:paraId="2D70B0C4"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CD" w14:textId="77777777" w:rsidR="006F0C9D" w:rsidRPr="008A5F4B" w:rsidRDefault="00000000" w:rsidP="008A5F4B">
            <w:pPr>
              <w:spacing w:line="280" w:lineRule="auto"/>
              <w:jc w:val="both"/>
            </w:pPr>
            <w:r w:rsidRPr="008A5F4B">
              <w:rPr>
                <w:b/>
                <w:bCs/>
                <w:sz w:val="22"/>
                <w:szCs w:val="22"/>
              </w:rPr>
              <w:t>Métrica</w:t>
            </w:r>
          </w:p>
        </w:tc>
        <w:tc>
          <w:tcPr>
            <w:tcW w:w="16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CE" w14:textId="77777777" w:rsidR="006F0C9D" w:rsidRPr="008A5F4B" w:rsidRDefault="00000000" w:rsidP="008A5F4B">
            <w:pPr>
              <w:spacing w:line="280" w:lineRule="auto"/>
              <w:jc w:val="both"/>
            </w:pPr>
            <w:r w:rsidRPr="008A5F4B">
              <w:rPr>
                <w:b/>
                <w:bCs/>
                <w:sz w:val="22"/>
                <w:szCs w:val="22"/>
              </w:rPr>
              <w:t>Leve (n=29)</w:t>
            </w:r>
          </w:p>
        </w:tc>
        <w:tc>
          <w:tcPr>
            <w:tcW w:w="16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CF" w14:textId="77777777" w:rsidR="006F0C9D" w:rsidRPr="008A5F4B" w:rsidRDefault="00000000" w:rsidP="008A5F4B">
            <w:pPr>
              <w:spacing w:line="280" w:lineRule="auto"/>
              <w:jc w:val="both"/>
            </w:pPr>
            <w:r w:rsidRPr="008A5F4B">
              <w:rPr>
                <w:b/>
                <w:bCs/>
                <w:sz w:val="22"/>
                <w:szCs w:val="22"/>
              </w:rPr>
              <w:t>Moderado (n=259)</w:t>
            </w:r>
          </w:p>
        </w:tc>
        <w:tc>
          <w:tcPr>
            <w:tcW w:w="16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D0" w14:textId="77777777" w:rsidR="006F0C9D" w:rsidRPr="008A5F4B" w:rsidRDefault="00000000" w:rsidP="008A5F4B">
            <w:pPr>
              <w:spacing w:line="280" w:lineRule="auto"/>
              <w:jc w:val="both"/>
            </w:pPr>
            <w:r w:rsidRPr="008A5F4B">
              <w:rPr>
                <w:b/>
                <w:bCs/>
                <w:sz w:val="22"/>
                <w:szCs w:val="22"/>
              </w:rPr>
              <w:t>Grave (n=218)</w:t>
            </w:r>
          </w:p>
        </w:tc>
        <w:tc>
          <w:tcPr>
            <w:tcW w:w="1600"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vAlign w:val="center"/>
          </w:tcPr>
          <w:p w14:paraId="000000D1" w14:textId="77777777" w:rsidR="006F0C9D" w:rsidRPr="008A5F4B" w:rsidRDefault="00000000" w:rsidP="008A5F4B">
            <w:pPr>
              <w:spacing w:line="280" w:lineRule="auto"/>
              <w:jc w:val="both"/>
            </w:pPr>
            <w:r w:rsidRPr="008A5F4B">
              <w:rPr>
                <w:b/>
                <w:bCs/>
                <w:sz w:val="22"/>
                <w:szCs w:val="22"/>
              </w:rPr>
              <w:t>Muy grave (n=54)</w:t>
            </w:r>
          </w:p>
        </w:tc>
      </w:tr>
      <w:tr w:rsidR="006F0C9D" w:rsidRPr="008A5F4B" w14:paraId="573A1F4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2" w14:textId="77777777" w:rsidR="006F0C9D" w:rsidRPr="008A5F4B" w:rsidRDefault="00000000" w:rsidP="008A5F4B">
            <w:pPr>
              <w:spacing w:line="280" w:lineRule="auto"/>
              <w:jc w:val="both"/>
            </w:pPr>
            <w:r w:rsidRPr="008A5F4B">
              <w:rPr>
                <w:sz w:val="22"/>
                <w:szCs w:val="22"/>
              </w:rPr>
              <w:t>ODI3 (ev/h)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3" w14:textId="77777777" w:rsidR="006F0C9D" w:rsidRPr="008A5F4B" w:rsidRDefault="00000000" w:rsidP="008A5F4B">
            <w:pPr>
              <w:spacing w:line="280" w:lineRule="auto"/>
              <w:jc w:val="both"/>
            </w:pPr>
            <w:r w:rsidRPr="008A5F4B">
              <w:rPr>
                <w:sz w:val="22"/>
                <w:szCs w:val="22"/>
              </w:rPr>
              <w:t>3.8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4" w14:textId="77777777" w:rsidR="006F0C9D" w:rsidRPr="008A5F4B" w:rsidRDefault="00000000" w:rsidP="008A5F4B">
            <w:pPr>
              <w:spacing w:line="280" w:lineRule="auto"/>
              <w:jc w:val="both"/>
            </w:pPr>
            <w:r w:rsidRPr="008A5F4B">
              <w:rPr>
                <w:sz w:val="22"/>
                <w:szCs w:val="22"/>
              </w:rPr>
              <w:t>10.2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5" w14:textId="77777777" w:rsidR="006F0C9D" w:rsidRPr="008A5F4B" w:rsidRDefault="00000000" w:rsidP="008A5F4B">
            <w:pPr>
              <w:spacing w:line="280" w:lineRule="auto"/>
              <w:jc w:val="both"/>
            </w:pPr>
            <w:r w:rsidRPr="008A5F4B">
              <w:rPr>
                <w:sz w:val="22"/>
                <w:szCs w:val="22"/>
              </w:rPr>
              <w:t>20.1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6" w14:textId="77777777" w:rsidR="006F0C9D" w:rsidRPr="008A5F4B" w:rsidRDefault="00000000" w:rsidP="008A5F4B">
            <w:pPr>
              <w:spacing w:line="280" w:lineRule="auto"/>
              <w:jc w:val="both"/>
            </w:pPr>
            <w:r w:rsidRPr="008A5F4B">
              <w:rPr>
                <w:sz w:val="22"/>
                <w:szCs w:val="22"/>
              </w:rPr>
              <w:t>40.9</w:t>
            </w:r>
          </w:p>
        </w:tc>
      </w:tr>
      <w:tr w:rsidR="006F0C9D" w:rsidRPr="008A5F4B" w14:paraId="6BCFAD7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7" w14:textId="77777777" w:rsidR="006F0C9D" w:rsidRPr="008A5F4B" w:rsidRDefault="00000000" w:rsidP="008A5F4B">
            <w:pPr>
              <w:spacing w:line="280" w:lineRule="auto"/>
              <w:jc w:val="both"/>
            </w:pPr>
            <w:r w:rsidRPr="008A5F4B">
              <w:rPr>
                <w:sz w:val="22"/>
                <w:szCs w:val="22"/>
              </w:rPr>
              <w:t>T90 (%)</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8" w14:textId="77777777" w:rsidR="006F0C9D" w:rsidRPr="008A5F4B" w:rsidRDefault="00000000" w:rsidP="008A5F4B">
            <w:pPr>
              <w:spacing w:line="280" w:lineRule="auto"/>
              <w:jc w:val="both"/>
            </w:pPr>
            <w:r w:rsidRPr="008A5F4B">
              <w:rPr>
                <w:sz w:val="22"/>
                <w:szCs w:val="22"/>
              </w:rPr>
              <w:t>0.3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9" w14:textId="77777777" w:rsidR="006F0C9D" w:rsidRPr="008A5F4B" w:rsidRDefault="00000000" w:rsidP="008A5F4B">
            <w:pPr>
              <w:spacing w:line="280" w:lineRule="auto"/>
              <w:jc w:val="both"/>
            </w:pPr>
            <w:r w:rsidRPr="008A5F4B">
              <w:rPr>
                <w:sz w:val="22"/>
                <w:szCs w:val="22"/>
              </w:rPr>
              <w:t>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A" w14:textId="77777777" w:rsidR="006F0C9D" w:rsidRPr="008A5F4B" w:rsidRDefault="00000000" w:rsidP="008A5F4B">
            <w:pPr>
              <w:spacing w:line="280" w:lineRule="auto"/>
              <w:jc w:val="both"/>
            </w:pPr>
            <w:r w:rsidRPr="008A5F4B">
              <w:rPr>
                <w:sz w:val="22"/>
                <w:szCs w:val="22"/>
              </w:rPr>
              <w:t>2.7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B" w14:textId="77777777" w:rsidR="006F0C9D" w:rsidRPr="008A5F4B" w:rsidRDefault="00000000" w:rsidP="008A5F4B">
            <w:pPr>
              <w:spacing w:line="280" w:lineRule="auto"/>
              <w:jc w:val="both"/>
            </w:pPr>
            <w:r w:rsidRPr="008A5F4B">
              <w:rPr>
                <w:sz w:val="22"/>
                <w:szCs w:val="22"/>
              </w:rPr>
              <w:t>12.3</w:t>
            </w:r>
          </w:p>
        </w:tc>
      </w:tr>
      <w:tr w:rsidR="006F0C9D" w:rsidRPr="008A5F4B" w14:paraId="193F1FB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C" w14:textId="77777777" w:rsidR="006F0C9D" w:rsidRPr="008A5F4B" w:rsidRDefault="00000000" w:rsidP="008A5F4B">
            <w:pPr>
              <w:spacing w:line="280" w:lineRule="auto"/>
              <w:jc w:val="both"/>
            </w:pPr>
            <w:r w:rsidRPr="008A5F4B">
              <w:rPr>
                <w:sz w:val="22"/>
                <w:szCs w:val="22"/>
              </w:rPr>
              <w:t>Frac C1 (%)</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D" w14:textId="77777777" w:rsidR="006F0C9D" w:rsidRPr="008A5F4B" w:rsidRDefault="00000000" w:rsidP="008A5F4B">
            <w:pPr>
              <w:spacing w:line="280" w:lineRule="auto"/>
              <w:jc w:val="both"/>
            </w:pPr>
            <w:r w:rsidRPr="008A5F4B">
              <w:rPr>
                <w:sz w:val="22"/>
                <w:szCs w:val="22"/>
              </w:rPr>
              <w:t>83.7%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E" w14:textId="77777777" w:rsidR="006F0C9D" w:rsidRPr="008A5F4B" w:rsidRDefault="00000000" w:rsidP="008A5F4B">
            <w:pPr>
              <w:spacing w:line="280" w:lineRule="auto"/>
              <w:jc w:val="both"/>
            </w:pPr>
            <w:r w:rsidRPr="008A5F4B">
              <w:rPr>
                <w:sz w:val="22"/>
                <w:szCs w:val="22"/>
              </w:rPr>
              <w:t>73.8%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DF" w14:textId="77777777" w:rsidR="006F0C9D" w:rsidRPr="008A5F4B" w:rsidRDefault="00000000" w:rsidP="008A5F4B">
            <w:pPr>
              <w:spacing w:line="280" w:lineRule="auto"/>
              <w:jc w:val="both"/>
            </w:pPr>
            <w:r w:rsidRPr="008A5F4B">
              <w:rPr>
                <w:sz w:val="22"/>
                <w:szCs w:val="22"/>
              </w:rPr>
              <w:t>66.7%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0" w14:textId="77777777" w:rsidR="006F0C9D" w:rsidRPr="008A5F4B" w:rsidRDefault="00000000" w:rsidP="008A5F4B">
            <w:pPr>
              <w:spacing w:line="280" w:lineRule="auto"/>
              <w:jc w:val="both"/>
            </w:pPr>
            <w:r w:rsidRPr="008A5F4B">
              <w:rPr>
                <w:sz w:val="22"/>
                <w:szCs w:val="22"/>
              </w:rPr>
              <w:t>43.4%</w:t>
            </w:r>
          </w:p>
        </w:tc>
      </w:tr>
      <w:tr w:rsidR="006F0C9D" w:rsidRPr="008A5F4B" w14:paraId="25B0E68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1" w14:textId="77777777" w:rsidR="006F0C9D" w:rsidRPr="008A5F4B" w:rsidRDefault="00000000" w:rsidP="008A5F4B">
            <w:pPr>
              <w:spacing w:line="280" w:lineRule="auto"/>
              <w:jc w:val="both"/>
            </w:pPr>
            <w:r w:rsidRPr="008A5F4B">
              <w:rPr>
                <w:sz w:val="22"/>
                <w:szCs w:val="22"/>
              </w:rPr>
              <w:t>Frac C4+C5 (%)</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2" w14:textId="77777777" w:rsidR="006F0C9D" w:rsidRPr="008A5F4B" w:rsidRDefault="00000000" w:rsidP="008A5F4B">
            <w:pPr>
              <w:spacing w:line="280" w:lineRule="auto"/>
              <w:jc w:val="both"/>
            </w:pPr>
            <w:r w:rsidRPr="008A5F4B">
              <w:rPr>
                <w:sz w:val="22"/>
                <w:szCs w:val="22"/>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3" w14:textId="77777777" w:rsidR="006F0C9D" w:rsidRPr="008A5F4B" w:rsidRDefault="00000000" w:rsidP="008A5F4B">
            <w:pPr>
              <w:spacing w:line="280" w:lineRule="auto"/>
              <w:jc w:val="both"/>
            </w:pPr>
            <w:r w:rsidRPr="008A5F4B">
              <w:rPr>
                <w:sz w:val="22"/>
                <w:szCs w:val="22"/>
              </w:rPr>
              <w:t>4.4%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4" w14:textId="77777777" w:rsidR="006F0C9D" w:rsidRPr="008A5F4B" w:rsidRDefault="00000000" w:rsidP="008A5F4B">
            <w:pPr>
              <w:spacing w:line="280" w:lineRule="auto"/>
              <w:jc w:val="both"/>
            </w:pPr>
            <w:r w:rsidRPr="008A5F4B">
              <w:rPr>
                <w:sz w:val="22"/>
                <w:szCs w:val="22"/>
              </w:rPr>
              <w:t>4.0%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5" w14:textId="77777777" w:rsidR="006F0C9D" w:rsidRPr="008A5F4B" w:rsidRDefault="00000000" w:rsidP="008A5F4B">
            <w:pPr>
              <w:spacing w:line="280" w:lineRule="auto"/>
              <w:jc w:val="both"/>
            </w:pPr>
            <w:r w:rsidRPr="008A5F4B">
              <w:rPr>
                <w:sz w:val="22"/>
                <w:szCs w:val="22"/>
              </w:rPr>
              <w:t>9.7%</w:t>
            </w:r>
          </w:p>
        </w:tc>
      </w:tr>
      <w:tr w:rsidR="006F0C9D" w:rsidRPr="008A5F4B" w14:paraId="0E88BF9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6" w14:textId="77777777" w:rsidR="006F0C9D" w:rsidRPr="008A5F4B" w:rsidRDefault="00000000" w:rsidP="008A5F4B">
            <w:pPr>
              <w:spacing w:line="280" w:lineRule="auto"/>
              <w:jc w:val="both"/>
            </w:pPr>
            <w:r w:rsidRPr="008A5F4B">
              <w:rPr>
                <w:sz w:val="22"/>
                <w:szCs w:val="22"/>
              </w:rPr>
              <w:t>ARI medio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7" w14:textId="77777777" w:rsidR="006F0C9D" w:rsidRPr="008A5F4B" w:rsidRDefault="00000000" w:rsidP="008A5F4B">
            <w:pPr>
              <w:spacing w:line="280" w:lineRule="auto"/>
              <w:jc w:val="both"/>
            </w:pPr>
            <w:r w:rsidRPr="008A5F4B">
              <w:rPr>
                <w:sz w:val="22"/>
                <w:szCs w:val="22"/>
              </w:rPr>
              <w:t>0.519</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8" w14:textId="77777777" w:rsidR="006F0C9D" w:rsidRPr="008A5F4B" w:rsidRDefault="00000000" w:rsidP="008A5F4B">
            <w:pPr>
              <w:spacing w:line="280" w:lineRule="auto"/>
              <w:jc w:val="both"/>
            </w:pPr>
            <w:r w:rsidRPr="008A5F4B">
              <w:rPr>
                <w:sz w:val="22"/>
                <w:szCs w:val="22"/>
              </w:rPr>
              <w:t>0.518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9" w14:textId="77777777" w:rsidR="006F0C9D" w:rsidRPr="008A5F4B" w:rsidRDefault="00000000" w:rsidP="008A5F4B">
            <w:pPr>
              <w:spacing w:line="280" w:lineRule="auto"/>
              <w:jc w:val="both"/>
            </w:pPr>
            <w:r w:rsidRPr="008A5F4B">
              <w:rPr>
                <w:sz w:val="22"/>
                <w:szCs w:val="22"/>
              </w:rPr>
              <w:t>0.470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00EA" w14:textId="77777777" w:rsidR="006F0C9D" w:rsidRPr="008A5F4B" w:rsidRDefault="00000000" w:rsidP="008A5F4B">
            <w:pPr>
              <w:spacing w:line="280" w:lineRule="auto"/>
              <w:jc w:val="both"/>
            </w:pPr>
            <w:r w:rsidRPr="008A5F4B">
              <w:rPr>
                <w:sz w:val="22"/>
                <w:szCs w:val="22"/>
              </w:rPr>
              <w:t>0.486</w:t>
            </w:r>
          </w:p>
        </w:tc>
      </w:tr>
    </w:tbl>
    <w:p w14:paraId="000000EB" w14:textId="77777777" w:rsidR="006F0C9D" w:rsidRPr="008A5F4B" w:rsidRDefault="00000000" w:rsidP="008A5F4B">
      <w:pPr>
        <w:spacing w:before="60" w:after="180" w:line="300" w:lineRule="auto"/>
        <w:jc w:val="both"/>
      </w:pPr>
      <w:sdt>
        <w:sdtPr>
          <w:tag w:val="goog_rdk_14"/>
          <w:id w:val="-59537456"/>
        </w:sdtPr>
        <w:sdtContent>
          <w:r w:rsidRPr="008A5F4B">
            <w:rPr>
              <w:rFonts w:eastAsia="Gungsuh"/>
              <w:i/>
              <w:iCs/>
              <w:sz w:val="22"/>
              <w:szCs w:val="22"/>
            </w:rPr>
            <w:t>Leve: ODI3&lt;5 ev/h; Moderado: 5–15; Grave: 15–30; Muy grave: ≥30.</w:t>
          </w:r>
        </w:sdtContent>
      </w:sdt>
    </w:p>
    <w:p w14:paraId="000000EC" w14:textId="77777777" w:rsidR="006F0C9D" w:rsidRPr="008A5F4B" w:rsidRDefault="00000000" w:rsidP="008A5F4B">
      <w:pPr>
        <w:pStyle w:val="Ttulo2"/>
        <w:spacing w:line="360" w:lineRule="auto"/>
        <w:jc w:val="both"/>
        <w:rPr>
          <w:color w:val="auto"/>
        </w:rPr>
      </w:pPr>
      <w:r w:rsidRPr="008A5F4B">
        <w:rPr>
          <w:color w:val="auto"/>
        </w:rPr>
        <w:t>3.8 Validación interna y estabilidad multi-noche</w:t>
      </w:r>
    </w:p>
    <w:p w14:paraId="000000ED" w14:textId="77777777" w:rsidR="006F0C9D" w:rsidRPr="008A5F4B" w:rsidRDefault="00000000" w:rsidP="008A5F4B">
      <w:pPr>
        <w:spacing w:after="120" w:line="360" w:lineRule="auto"/>
        <w:jc w:val="both"/>
      </w:pPr>
      <w:r w:rsidRPr="008A5F4B">
        <w:t>Para el ODI3, la concordancia entre noches mejora progresivamente con la acumulación de registros: moderada con una sola noche (ICC=0.70) y prácticamente perfecta con 14 noches (ICC=0.99). El error de estimación cae de 5.3 a 1.5 ev/h, y la clasificación de severidad resulta 100% concordante a partir de la tercera noche (Figura 7). En la práctica, esto significa que tres noches de registro domiciliario son suficientes para clasificar correctamente a un paciente como Leve, Moderado, Grave o Muy grave.</w:t>
      </w:r>
    </w:p>
    <w:p w14:paraId="000000EE" w14:textId="77777777" w:rsidR="006F0C9D" w:rsidRPr="008A5F4B" w:rsidRDefault="00000000" w:rsidP="008A5F4B">
      <w:pPr>
        <w:spacing w:after="120" w:line="360" w:lineRule="auto"/>
        <w:jc w:val="both"/>
      </w:pPr>
      <w:r w:rsidRPr="008A5F4B">
        <w:t>El ARI se estabiliza aún más rápido: desde la primera noche su error de estimación está ya por debajo del umbral clínicamente relevante, y la comparación entre una noche y el promedio de muchas no muestra sesgo sistemático (Figura 8). En términos prácticos, una sola noche de registro con el SOMNI 6000 en el domicilio es suficiente para conocer el ARI del paciente de forma confiable, sin necesidad de estudios repetidos ni de laboratorio de sueño.</w:t>
      </w:r>
    </w:p>
    <w:p w14:paraId="5B29C7C4" w14:textId="70B21960" w:rsidR="008A5F4B" w:rsidRPr="008A5F4B" w:rsidRDefault="00000000" w:rsidP="008A5F4B">
      <w:pPr>
        <w:pStyle w:val="Ttulo1"/>
        <w:spacing w:line="360" w:lineRule="auto"/>
        <w:jc w:val="both"/>
        <w:rPr>
          <w:color w:val="auto"/>
        </w:rPr>
      </w:pPr>
      <w:r w:rsidRPr="008A5F4B">
        <w:rPr>
          <w:color w:val="auto"/>
        </w:rPr>
        <w:t>4. Discusión</w:t>
      </w:r>
    </w:p>
    <w:p w14:paraId="59ACF3D1" w14:textId="36723ACF" w:rsidR="008A5F4B" w:rsidRPr="008A5F4B" w:rsidRDefault="008A5F4B" w:rsidP="008A5F4B">
      <w:pPr>
        <w:spacing w:after="120" w:line="360" w:lineRule="auto"/>
        <w:jc w:val="both"/>
      </w:pPr>
      <w:r w:rsidRPr="008A5F4B">
        <w:lastRenderedPageBreak/>
        <w:t>El mensaje central de los resultados es que los EDOs no son todos iguales. Presentan una organización morfológica estructurada, describible con tres características independientes</w:t>
      </w:r>
      <w:r w:rsidR="00D34F49">
        <w:t xml:space="preserve">, </w:t>
      </w:r>
      <w:r w:rsidRPr="008A5F4B">
        <w:t>la profundidad de la caída, el momento en que ocurre el nadir y la velocidad de recuperación</w:t>
      </w:r>
      <w:r w:rsidR="00D34F49">
        <w:t>,</w:t>
      </w:r>
      <w:r w:rsidRPr="008A5F4B">
        <w:t xml:space="preserve"> que en conjunto explican el 83.9% de la variabilidad entre eventos, y que el K-means captura en cinco fenotipos reproducibles. El hallazgo morfológicamente más relevante es la distinción entre C3 y C4: ambos presentan nadires similares (−7.9 vs. −8.6 pp) pero difieren radicalmente en la posición temporal del nadir (25% vs. 75% de la duración del evento). Esta distinción, invisible para cualquier índice basado en amplitud o duración, puede tener implicancias fisiopatológicas en términos de latencia del arousal respiratorio y respuesta cardiovascular. Este enfoque es coherente con el marco de endotipos fisiopatológicos propuesto por Eckert et al.,10 quienes identificaron mecanismos causales del SAOS </w:t>
      </w:r>
      <w:r w:rsidR="00D34F49">
        <w:t>(</w:t>
      </w:r>
      <w:r w:rsidRPr="008A5F4B">
        <w:t>umbral de arousal, bucle de ganancia, tono muscular</w:t>
      </w:r>
      <w:r w:rsidR="00D34F49">
        <w:t>)</w:t>
      </w:r>
      <w:r w:rsidRPr="008A5F4B">
        <w:t xml:space="preserve"> que determinan la expresión clínica del síndrome.</w:t>
      </w:r>
    </w:p>
    <w:p w14:paraId="000000F1" w14:textId="2F534A7E" w:rsidR="006F0C9D" w:rsidRPr="008A5F4B" w:rsidRDefault="00000000" w:rsidP="008A5F4B">
      <w:pPr>
        <w:spacing w:after="120" w:line="360" w:lineRule="auto"/>
        <w:jc w:val="both"/>
      </w:pPr>
      <w:r w:rsidRPr="008A5F4B">
        <w:t xml:space="preserve">La propuesta del ARI como eje autonómico ortogonal a la severidad hipóxica (ρ=0.034) constituye la contribución conceptual central. El análisis intra-estrato, donde el ARI diferencia pacientes con ODI3 equivalente en términos de ganancia de FC, fracción de eventos severos y T90, sugiere la existencia de dos dimensiones fisiopatológicas independientes en el SAOS: la carga hipóxica (ODI, T90, </w:t>
      </w:r>
      <w:r w:rsidRPr="00D34F49">
        <w:rPr>
          <w:i/>
          <w:iCs/>
        </w:rPr>
        <w:t>hypoxic burden</w:t>
      </w:r>
      <w:r w:rsidRPr="008A5F4B">
        <w:t>) y la eficiencia de la respuesta autonómica (ARI). Esta bidimensionalidad resuena con modelos previos del SAOS como sistema estímulo–respuesta</w:t>
      </w:r>
      <w:r w:rsidR="00D34F49" w:rsidRPr="00D34F49">
        <w:rPr>
          <w:vertAlign w:val="superscript"/>
        </w:rPr>
        <w:t>[</w:t>
      </w:r>
      <w:r w:rsidRPr="00D34F49">
        <w:rPr>
          <w:vertAlign w:val="superscript"/>
        </w:rPr>
        <w:t>14,15</w:t>
      </w:r>
      <w:r w:rsidR="00D34F49" w:rsidRPr="00D34F49">
        <w:rPr>
          <w:vertAlign w:val="superscript"/>
        </w:rPr>
        <w:t>]</w:t>
      </w:r>
      <w:r w:rsidRPr="008A5F4B">
        <w:t xml:space="preserve"> y podría ser relevante para una estratificación de riesgo más granular, en línea con la evidencia sobre subtipos clínicos del SAOS con implicancias pronósticas distintas.</w:t>
      </w:r>
      <w:r w:rsidR="00D34F49" w:rsidRPr="00D34F49">
        <w:rPr>
          <w:vertAlign w:val="superscript"/>
        </w:rPr>
        <w:t>[</w:t>
      </w:r>
      <w:r w:rsidRPr="00D34F49">
        <w:rPr>
          <w:vertAlign w:val="superscript"/>
        </w:rPr>
        <w:t>11,18,21</w:t>
      </w:r>
      <w:r w:rsidR="00D34F49" w:rsidRPr="00D34F49">
        <w:rPr>
          <w:vertAlign w:val="superscript"/>
        </w:rPr>
        <w:t>]</w:t>
      </w:r>
    </w:p>
    <w:p w14:paraId="000000F2" w14:textId="28951C43" w:rsidR="006F0C9D" w:rsidRPr="008A5F4B" w:rsidRDefault="00000000" w:rsidP="008A5F4B">
      <w:pPr>
        <w:spacing w:after="120" w:line="360" w:lineRule="auto"/>
        <w:jc w:val="both"/>
      </w:pPr>
      <w:r w:rsidRPr="008A5F4B">
        <w:rPr>
          <w:rFonts w:eastAsia="Gungsuh"/>
        </w:rPr>
        <w:t>El fenómeno del silencio autonómico en C5 —ganancia de FC de 0.04 lpm/pp ante nadires de −15.3 pp— merece atención específica. Una respuesta autonómica severamente enlentecida ante hipoxia severa podría reflejar adaptación crónica del sistema nervioso autónomo, deterioro de la sensibilidad de quimiorreceptores, o fatiga del arco reflejo del arousal.</w:t>
      </w:r>
      <w:r w:rsidR="00D34F49" w:rsidRPr="00D34F49">
        <w:rPr>
          <w:rFonts w:eastAsia="Gungsuh"/>
          <w:vertAlign w:val="superscript"/>
        </w:rPr>
        <w:t>[</w:t>
      </w:r>
      <w:r w:rsidRPr="00D34F49">
        <w:rPr>
          <w:rFonts w:eastAsia="Gungsuh"/>
          <w:vertAlign w:val="superscript"/>
        </w:rPr>
        <w:t>15,16</w:t>
      </w:r>
      <w:r w:rsidR="00D34F49" w:rsidRPr="00D34F49">
        <w:rPr>
          <w:rFonts w:eastAsia="Gungsuh"/>
          <w:vertAlign w:val="superscript"/>
        </w:rPr>
        <w:t>]</w:t>
      </w:r>
      <w:r w:rsidRPr="008A5F4B">
        <w:rPr>
          <w:rFonts w:eastAsia="Gungsuh"/>
        </w:rPr>
        <w:t xml:space="preserve"> La activación tónica del quimiorreflejo en el SAOS</w:t>
      </w:r>
      <w:r w:rsidR="00D34F49" w:rsidRPr="00D34F49">
        <w:rPr>
          <w:rFonts w:eastAsia="Gungsuh"/>
          <w:vertAlign w:val="superscript"/>
        </w:rPr>
        <w:t>[</w:t>
      </w:r>
      <w:r w:rsidRPr="00D34F49">
        <w:rPr>
          <w:rFonts w:eastAsia="Gungsuh"/>
          <w:vertAlign w:val="superscript"/>
        </w:rPr>
        <w:t>17,20</w:t>
      </w:r>
      <w:r w:rsidR="00D34F49" w:rsidRPr="00D34F49">
        <w:rPr>
          <w:rFonts w:eastAsia="Gungsuh"/>
          <w:vertAlign w:val="superscript"/>
        </w:rPr>
        <w:t>]</w:t>
      </w:r>
      <w:r w:rsidRPr="008A5F4B">
        <w:rPr>
          <w:rFonts w:eastAsia="Gungsuh"/>
        </w:rPr>
        <w:t xml:space="preserve"> puede derivar en daño vascular acumulado;</w:t>
      </w:r>
      <w:r w:rsidR="00D34F49" w:rsidRPr="00D34F49">
        <w:rPr>
          <w:rFonts w:eastAsia="Gungsuh"/>
          <w:vertAlign w:val="superscript"/>
        </w:rPr>
        <w:t>[</w:t>
      </w:r>
      <w:r w:rsidRPr="00D34F49">
        <w:rPr>
          <w:rFonts w:eastAsia="Gungsuh"/>
          <w:vertAlign w:val="superscript"/>
        </w:rPr>
        <w:t>19</w:t>
      </w:r>
      <w:r w:rsidR="00D34F49" w:rsidRPr="00D34F49">
        <w:rPr>
          <w:rFonts w:eastAsia="Gungsuh"/>
          <w:vertAlign w:val="superscript"/>
        </w:rPr>
        <w:t>]</w:t>
      </w:r>
      <w:r w:rsidRPr="008A5F4B">
        <w:rPr>
          <w:rFonts w:eastAsia="Gungsuh"/>
        </w:rPr>
        <w:t xml:space="preserve"> sin embargo, su expresión como silencio autonómico sugiere un espectro modulado por la acumulación crónica de exposición hipóxica, potencialmente mediado por los factores inducidos por la hipoxia (HIF).</w:t>
      </w:r>
      <w:r w:rsidR="00D34F49" w:rsidRPr="00D34F49">
        <w:rPr>
          <w:rFonts w:eastAsia="Gungsuh"/>
          <w:vertAlign w:val="superscript"/>
        </w:rPr>
        <w:t>[</w:t>
      </w:r>
      <w:r w:rsidRPr="00D34F49">
        <w:rPr>
          <w:rFonts w:eastAsia="Gungsuh"/>
          <w:vertAlign w:val="superscript"/>
        </w:rPr>
        <w:t>22</w:t>
      </w:r>
      <w:r w:rsidR="00D34F49" w:rsidRPr="00D34F49">
        <w:rPr>
          <w:rFonts w:eastAsia="Gungsuh"/>
          <w:vertAlign w:val="superscript"/>
        </w:rPr>
        <w:t>]</w:t>
      </w:r>
    </w:p>
    <w:p w14:paraId="000000F3" w14:textId="77777777" w:rsidR="006F0C9D" w:rsidRPr="008A5F4B" w:rsidRDefault="00000000" w:rsidP="008A5F4B">
      <w:pPr>
        <w:spacing w:after="120" w:line="360" w:lineRule="auto"/>
        <w:jc w:val="both"/>
      </w:pPr>
      <w:r w:rsidRPr="008A5F4B">
        <w:t xml:space="preserve">Las principales limitaciones son: (1) tamaño de cohorte (n=12), que limita la generalización y la potencia en análisis de subgrupos; (2) ausencia de PSG para validación externa de morfotipos y ARI; (3) la definición de morfotipos basada exclusivamente en la curva de SpO₂, que no permite distinguir apneas de hipopneas con morfología similar. Estudios futuros con PSG </w:t>
      </w:r>
      <w:r w:rsidRPr="008A5F4B">
        <w:lastRenderedPageBreak/>
        <w:t>concurrente y mayor n son necesarios para validar externamente estas propuestas, incluyendo la correlación de morfotipos con las etapas del sueño y desenlaces cardiovasculares.</w:t>
      </w:r>
    </w:p>
    <w:p w14:paraId="000000F4" w14:textId="77777777" w:rsidR="006F0C9D" w:rsidRPr="008A5F4B" w:rsidRDefault="00000000" w:rsidP="008A5F4B">
      <w:pPr>
        <w:pStyle w:val="Ttulo1"/>
        <w:spacing w:line="360" w:lineRule="auto"/>
        <w:jc w:val="both"/>
        <w:rPr>
          <w:color w:val="auto"/>
        </w:rPr>
      </w:pPr>
      <w:r w:rsidRPr="008A5F4B">
        <w:rPr>
          <w:color w:val="auto"/>
        </w:rPr>
        <w:t>5. Conclusiones</w:t>
      </w:r>
    </w:p>
    <w:p w14:paraId="000000F5" w14:textId="77777777" w:rsidR="006F0C9D" w:rsidRPr="008A5F4B" w:rsidRDefault="00000000" w:rsidP="008A5F4B">
      <w:pPr>
        <w:spacing w:after="120" w:line="360" w:lineRule="auto"/>
        <w:jc w:val="both"/>
      </w:pPr>
      <w:r w:rsidRPr="008A5F4B">
        <w:t xml:space="preserve">Este trabajo demuestra que los eventos de desaturación </w:t>
      </w:r>
      <w:sdt>
        <w:sdtPr>
          <w:tag w:val="goog_rdk_17"/>
          <w:id w:val="-2036636738"/>
        </w:sdtPr>
        <w:sdtContent/>
      </w:sdt>
      <w:r w:rsidRPr="008A5F4B">
        <w:t>de oxígeno nocturna no son morfológicamente homogéneos. El análisis no supervisado de 85.277 EDOs provenientes de monitoreo domiciliario identificó cinco fenotipos reproducibles (C1–C5) que difieren en profundidad, dinámica temporal y respuesta autonómica. La distinción entre morfotipos de amplitud similar pero posición temporal del nadir opuesta (C3 vs. C4) y el silencio autonómico ante hipoxia severa (C5, ganancia de FC=0.04 lpm/pp) son hallazgos que ningún índice basado en frecuencia o amplitud es capaz de capturar.</w:t>
      </w:r>
    </w:p>
    <w:p w14:paraId="000000F6" w14:textId="77777777" w:rsidR="006F0C9D" w:rsidRPr="008A5F4B" w:rsidRDefault="00000000" w:rsidP="008A5F4B">
      <w:pPr>
        <w:spacing w:after="120" w:line="360" w:lineRule="auto"/>
        <w:jc w:val="both"/>
      </w:pPr>
      <w:r w:rsidRPr="008A5F4B">
        <w:t>El Índice de Respuesta Autonómica propuesto opera en una dimensión fisiológica ortogonal a la severidad hipóxica (ρ=0.034; R²&lt;0.1%). El análisis intra-estrato confirma que aporta información clínicamente relevante dentro de cada estrato convencional de ODI3, con diferencias significativas en ganancia de FC en los cuatro estratos. El fenómeno del silencio autonómico en C5 plantea una hipótesis clínica específica sobre agotamiento del arco reflejo en el SAOS crónico severo, con implicancias terapéuticas y de riesgo cardiovascular que merecen exploración prospectiva.</w:t>
      </w:r>
    </w:p>
    <w:p w14:paraId="000000F7" w14:textId="77777777" w:rsidR="006F0C9D" w:rsidRPr="008A5F4B" w:rsidRDefault="00000000" w:rsidP="008A5F4B">
      <w:pPr>
        <w:spacing w:after="120" w:line="360" w:lineRule="auto"/>
        <w:jc w:val="both"/>
      </w:pPr>
      <w:r w:rsidRPr="008A5F4B">
        <w:t>La validación longitudinal confirma que ambas métricas son estables: el ODI3 alcanza concordancia categórica completa a partir de tres noches, y el ARI está por debajo del umbral de error operacional desde la primera noche de registro, sin sesgo sistemático.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p>
    <w:p w14:paraId="000000F8" w14:textId="77777777" w:rsidR="006F0C9D" w:rsidRPr="008A5F4B" w:rsidRDefault="00000000" w:rsidP="008A5F4B">
      <w:pPr>
        <w:spacing w:before="120" w:after="60" w:line="360" w:lineRule="auto"/>
        <w:jc w:val="both"/>
      </w:pPr>
      <w:r w:rsidRPr="008A5F4B">
        <w:rPr>
          <w:b/>
          <w:bCs/>
        </w:rPr>
        <w:t>Implicancias para la práctica clínica</w:t>
      </w:r>
    </w:p>
    <w:p w14:paraId="000000F9" w14:textId="77777777" w:rsidR="006F0C9D" w:rsidRPr="008A5F4B" w:rsidRDefault="00000000" w:rsidP="008A5F4B">
      <w:pPr>
        <w:spacing w:after="120" w:line="360" w:lineRule="auto"/>
        <w:jc w:val="both"/>
      </w:pPr>
      <w:r w:rsidRPr="008A5F4B">
        <w:t>Los hallazgos de este trabajo pueden resumirse en tres mensajes concretos para el clínico:</w:t>
      </w:r>
    </w:p>
    <w:p w14:paraId="000000FA" w14:textId="77777777" w:rsidR="006F0C9D" w:rsidRPr="008A5F4B" w:rsidRDefault="00000000" w:rsidP="008A5F4B">
      <w:pPr>
        <w:spacing w:after="120" w:line="360" w:lineRule="auto"/>
        <w:jc w:val="both"/>
      </w:pPr>
      <w:r w:rsidRPr="008A5F4B">
        <w:rPr>
          <w:b/>
          <w:bCs/>
        </w:rPr>
        <w:t xml:space="preserve">Primero: </w:t>
      </w:r>
      <w:r w:rsidRPr="008A5F4B">
        <w:t xml:space="preserve">el ODI y el AHI no cuentan toda la historia. Dos pacientes con igual índice de desaturación </w:t>
      </w:r>
      <w:sdt>
        <w:sdtPr>
          <w:tag w:val="goog_rdk_18"/>
          <w:id w:val="116204631"/>
        </w:sdtPr>
        <w:sdtContent/>
      </w:sdt>
      <w:r w:rsidRPr="008A5F4B">
        <w:t>de oxígeno pueden tener perfiles fisiológicos radicalmente distintos: uno con eventos breves y respuesta cardiovascular activa, otro con desaturaciones prolongadas y silencio autonómico. Tratarlos como equivalentes puede ser un error clínico.</w:t>
      </w:r>
    </w:p>
    <w:p w14:paraId="000000FB" w14:textId="77777777" w:rsidR="006F0C9D" w:rsidRPr="008A5F4B" w:rsidRDefault="00000000" w:rsidP="008A5F4B">
      <w:pPr>
        <w:spacing w:after="120" w:line="360" w:lineRule="auto"/>
        <w:jc w:val="both"/>
      </w:pPr>
      <w:r w:rsidRPr="008A5F4B">
        <w:rPr>
          <w:b/>
          <w:bCs/>
        </w:rPr>
        <w:lastRenderedPageBreak/>
        <w:t xml:space="preserve">Segundo: </w:t>
      </w:r>
      <w:r w:rsidRPr="008A5F4B">
        <w:t>el ARI agrega una capa de información nueva: mide la eficiencia con la que el organismo responde a cada episodio de hipoxia. Un ARI bajo —especialmente en el morfotipo C5— podría identificar a los pacientes con mayor riesgo cardiovascular silencioso, independientemente de cuántos eventos tengan por noche.</w:t>
      </w:r>
    </w:p>
    <w:p w14:paraId="000000FC" w14:textId="77777777" w:rsidR="006F0C9D" w:rsidRPr="008A5F4B" w:rsidRDefault="00000000" w:rsidP="008A5F4B">
      <w:pPr>
        <w:spacing w:after="120" w:line="360" w:lineRule="auto"/>
        <w:jc w:val="both"/>
      </w:pPr>
      <w:r w:rsidRPr="008A5F4B">
        <w:rPr>
          <w:b/>
          <w:bCs/>
        </w:rPr>
        <w:t xml:space="preserve">Tercero: </w:t>
      </w:r>
      <w:r w:rsidRPr="008A5F4B">
        <w:t>en esta cohorte, una sola noche de monitoreo domiciliario con el SOMNI 6000 fue suficiente para estimar ambas métricas de forma confiable, sin necesidad de laboratorio de sueño.</w:t>
      </w:r>
    </w:p>
    <w:p w14:paraId="000000FD" w14:textId="77777777" w:rsidR="006F0C9D" w:rsidRPr="008A5F4B" w:rsidRDefault="00000000" w:rsidP="008A5F4B">
      <w:pPr>
        <w:spacing w:after="120" w:line="360" w:lineRule="auto"/>
        <w:jc w:val="both"/>
      </w:pPr>
      <w:r w:rsidRPr="008A5F4B">
        <w:t>Esto no reemplaza a la PSG, que sigue siendo el estándar de referencia para el diagnóstico del SAOS y aporta información adicional —etapas del sueño, microdespertares, eventos obstructivos vs. centrales— que el oxímetro domiciliario no puede proveer. El valor de este enfoque es complementario: agregar información morfológica y autonómica sobre los eventos de desaturación dentro del flujo diagnóstico habitual.</w:t>
      </w:r>
    </w:p>
    <w:p w14:paraId="000000FE" w14:textId="77777777" w:rsidR="006F0C9D" w:rsidRPr="008A5F4B" w:rsidRDefault="00000000" w:rsidP="008A5F4B">
      <w:pPr>
        <w:spacing w:after="120" w:line="360" w:lineRule="auto"/>
        <w:jc w:val="both"/>
      </w:pPr>
      <w:r w:rsidRPr="008A5F4B">
        <w:t>El paso siguiente es determinar si estas diferencias fisiológicas se traducen en distintos desenlaces clínicos a largo plazo. Esa pregunta, y su respuesta, justifica los estudios prospectivos que este trabajo pretende motivar.</w:t>
      </w:r>
    </w:p>
    <w:p w14:paraId="000000FF" w14:textId="77777777" w:rsidR="006F0C9D" w:rsidRPr="008A5F4B" w:rsidRDefault="00000000" w:rsidP="008A5F4B">
      <w:pPr>
        <w:pStyle w:val="Ttulo1"/>
        <w:spacing w:line="360" w:lineRule="auto"/>
        <w:jc w:val="both"/>
        <w:rPr>
          <w:color w:val="auto"/>
        </w:rPr>
      </w:pPr>
      <w:r w:rsidRPr="008A5F4B">
        <w:rPr>
          <w:color w:val="auto"/>
        </w:rPr>
        <w:t>Declaraciones</w:t>
      </w:r>
    </w:p>
    <w:p w14:paraId="00000100" w14:textId="77777777" w:rsidR="006F0C9D" w:rsidRPr="008A5F4B" w:rsidRDefault="00000000" w:rsidP="008A5F4B">
      <w:pPr>
        <w:spacing w:after="120" w:line="360" w:lineRule="auto"/>
        <w:jc w:val="both"/>
      </w:pPr>
      <w:r w:rsidRPr="008A5F4B">
        <w:rPr>
          <w:b/>
          <w:bCs/>
        </w:rPr>
        <w:t xml:space="preserve">Conflictos de intereses: </w:t>
      </w:r>
      <w:r w:rsidRPr="008A5F4B">
        <w:t>Los autores declaran no tener conflictos de intereses relevantes en relación con el contenido de este manuscrito.</w:t>
      </w:r>
    </w:p>
    <w:p w14:paraId="00000101" w14:textId="77777777" w:rsidR="006F0C9D" w:rsidRPr="008A5F4B" w:rsidRDefault="00000000" w:rsidP="008A5F4B">
      <w:pPr>
        <w:spacing w:after="120" w:line="360" w:lineRule="auto"/>
        <w:jc w:val="both"/>
      </w:pPr>
      <w:r w:rsidRPr="008A5F4B">
        <w:rPr>
          <w:b/>
          <w:bCs/>
        </w:rPr>
        <w:t xml:space="preserve">Consideraciones éticas: </w:t>
      </w:r>
      <w:r w:rsidRPr="008A5F4B">
        <w:t>El estudio fue conducido en conformidad con los principios de la Declaración de Helsinki. Los datos utilizados provienen de registros clínicos retrospectivos completamente deidentificados y anonimizados. El protocolo clínico de validación del dispositivo SOMNI 6000 (CLP-275001 v1.2, abril 2025) sigue los estándares ICH GCP y las regulaciones aplicables de ANMAT. El uso de los datos se sustenta en la aceptación de los términos y condiciones del dispositivo SOMNI 6000 por parte de cada paciente, que incluye el consentimiento para el uso de los registros fisiológicos con fines de investigación.</w:t>
      </w:r>
    </w:p>
    <w:p w14:paraId="00000102" w14:textId="77777777" w:rsidR="006F0C9D" w:rsidRPr="008A5F4B" w:rsidRDefault="00000000" w:rsidP="008A5F4B">
      <w:pPr>
        <w:pStyle w:val="Ttulo1"/>
        <w:spacing w:line="360" w:lineRule="auto"/>
        <w:jc w:val="both"/>
        <w:rPr>
          <w:color w:val="auto"/>
        </w:rPr>
      </w:pPr>
      <w:r w:rsidRPr="008A5F4B">
        <w:rPr>
          <w:color w:val="auto"/>
        </w:rPr>
        <w:t>Leyendas de Figuras</w:t>
      </w:r>
    </w:p>
    <w:p w14:paraId="00000103" w14:textId="77777777" w:rsidR="006F0C9D" w:rsidRPr="008A5F4B" w:rsidRDefault="00000000" w:rsidP="008A5F4B">
      <w:pPr>
        <w:spacing w:after="120" w:line="360" w:lineRule="auto"/>
        <w:jc w:val="both"/>
      </w:pPr>
      <w:r w:rsidRPr="008A5F4B">
        <w:rPr>
          <w:i/>
          <w:iCs/>
        </w:rPr>
        <w:t>[Las figuras se adjuntan como archivos separados en formato JPEG/PNG a 300 dpi, nombrados según la página y párrafo del manuscrito donde se ubican.]</w:t>
      </w:r>
    </w:p>
    <w:p w14:paraId="00000104" w14:textId="77777777" w:rsidR="006F0C9D" w:rsidRPr="008A5F4B" w:rsidRDefault="00000000" w:rsidP="008A5F4B">
      <w:pPr>
        <w:spacing w:after="120" w:line="360" w:lineRule="auto"/>
        <w:jc w:val="both"/>
      </w:pPr>
      <w:r w:rsidRPr="008A5F4B">
        <w:rPr>
          <w:b/>
          <w:bCs/>
        </w:rPr>
        <w:lastRenderedPageBreak/>
        <w:t xml:space="preserve">Figura 1. </w:t>
      </w:r>
      <w:r w:rsidRPr="008A5F4B">
        <w:t>Análisis de componentes principales (PCA) sobre las curvas de SpO₂ normalizadas (85.277 EDOs). Scree plot, perfiles de carga de CP1–CP3 y proyección de eventos en el espacio PCA coloreados por morfotipo; los tres componentes explican el 83.9% de la varianza total.</w:t>
      </w:r>
    </w:p>
    <w:p w14:paraId="00000105" w14:textId="77777777" w:rsidR="006F0C9D" w:rsidRPr="008A5F4B" w:rsidRDefault="00000000" w:rsidP="008A5F4B">
      <w:pPr>
        <w:spacing w:after="120" w:line="360" w:lineRule="auto"/>
        <w:jc w:val="both"/>
      </w:pPr>
      <w:r w:rsidRPr="008A5F4B">
        <w:rPr>
          <w:b/>
          <w:bCs/>
        </w:rPr>
        <w:t xml:space="preserve">Figura 2. </w:t>
      </w:r>
      <w:r w:rsidRPr="008A5F4B">
        <w:t>Selección del número de clusters y perfiles morfológicos de los EDOs. (a) Silhouette score vs. número de clusters; k=5 seleccionado por interpretabilidad fisiológica. (b) Distribución de eventos por morfotipo. (c) Curvas de SpO₂ normalizada (mediana ± IQR) y centroide por cluster.</w:t>
      </w:r>
    </w:p>
    <w:p w14:paraId="00000106" w14:textId="77777777" w:rsidR="006F0C9D" w:rsidRPr="008A5F4B" w:rsidRDefault="00000000" w:rsidP="008A5F4B">
      <w:pPr>
        <w:spacing w:after="120" w:line="360" w:lineRule="auto"/>
        <w:jc w:val="both"/>
      </w:pPr>
      <w:r w:rsidRPr="008A5F4B">
        <w:rPr>
          <w:b/>
          <w:bCs/>
        </w:rPr>
        <w:t xml:space="preserve">Figura 3. </w:t>
      </w:r>
      <w:r w:rsidRPr="008A5F4B">
        <w:t>Perfiles de frecuencia cardíaca (A) y movimiento (B) durante los EDOs por morfotipo (mediana ± IQR). C4 exhibe la mayor respuesta de FC (+3.4 lpm) con movimiento moderado; C3 y C5 muestran movimiento elevado con respuesta cardíaca modesta, evidenciando la disociación FC/MOV.</w:t>
      </w:r>
    </w:p>
    <w:p w14:paraId="00000107" w14:textId="77777777" w:rsidR="006F0C9D" w:rsidRPr="008A5F4B" w:rsidRDefault="00000000" w:rsidP="008A5F4B">
      <w:pPr>
        <w:spacing w:after="120" w:line="360" w:lineRule="auto"/>
        <w:jc w:val="both"/>
      </w:pPr>
      <w:r w:rsidRPr="008A5F4B">
        <w:rPr>
          <w:b/>
          <w:bCs/>
        </w:rPr>
        <w:t xml:space="preserve">Figura 4. </w:t>
      </w:r>
      <w:r w:rsidRPr="008A5F4B">
        <w:t>Curva ROC del ARI para discriminar eventos de morfotipo severo (C4+C5) vs. no severo (C1–C3). AUC=0.453, no superior al azar, confirmando que el ARI no predice la severidad morfológica del evento.</w:t>
      </w:r>
    </w:p>
    <w:p w14:paraId="00000108" w14:textId="77777777" w:rsidR="006F0C9D" w:rsidRPr="008A5F4B" w:rsidRDefault="00000000" w:rsidP="008A5F4B">
      <w:pPr>
        <w:spacing w:after="120" w:line="360" w:lineRule="auto"/>
        <w:jc w:val="both"/>
      </w:pPr>
      <w:r w:rsidRPr="008A5F4B">
        <w:rPr>
          <w:b/>
          <w:bCs/>
        </w:rPr>
        <w:t xml:space="preserve">Figura 5. </w:t>
      </w:r>
      <w:r w:rsidRPr="008A5F4B">
        <w:t>ARI como dimensión ortogonal. A: mediana del ARI por cluster morfológico (IC 95% bootstrap); rango 0.44–0.52 sin tendencia monótona. B: distribución del ARI vs. severidad morfológica (hexbin, n=84.248); la uniformidad confirma ρ=0.034.</w:t>
      </w:r>
    </w:p>
    <w:p w14:paraId="00000109" w14:textId="77777777" w:rsidR="006F0C9D" w:rsidRPr="008A5F4B" w:rsidRDefault="00000000" w:rsidP="008A5F4B">
      <w:pPr>
        <w:spacing w:after="120" w:line="360" w:lineRule="auto"/>
        <w:jc w:val="both"/>
      </w:pPr>
      <w:r w:rsidRPr="008A5F4B">
        <w:rPr>
          <w:b/>
          <w:bCs/>
        </w:rPr>
        <w:t xml:space="preserve">Figura 6. </w:t>
      </w:r>
      <w:r w:rsidRPr="008A5F4B">
        <w:t>Análisis intra-estrato: variables clínicas por subgrupo de ARI (alto vs. bajo) dentro de cada estrato ODI3. (a) Ganancia de FC (lpm/pp). (b) Fracción de eventos C4+C5. (c) T90. El ODI3 no difiere entre subgrupos en ningún estrato (ns).</w:t>
      </w:r>
    </w:p>
    <w:p w14:paraId="0000010A" w14:textId="77777777" w:rsidR="006F0C9D" w:rsidRPr="008A5F4B" w:rsidRDefault="00000000" w:rsidP="008A5F4B">
      <w:pPr>
        <w:spacing w:after="120" w:line="360" w:lineRule="auto"/>
        <w:jc w:val="both"/>
      </w:pPr>
      <w:r w:rsidRPr="008A5F4B">
        <w:rPr>
          <w:b/>
          <w:bCs/>
        </w:rPr>
        <w:t xml:space="preserve">Figura 7. </w:t>
      </w:r>
      <w:r w:rsidRPr="008A5F4B">
        <w:t>Estabilización multi-noche del ODI3. A: MAE vs. número de noches (bootstrap, 300 iteraciones); umbral de 2 ev/h alcanzado a partir de la 5ª noche. B: ICC(1,1) vs. N noches, de 0.70 (1 noche) a 0.99 (14 noches).</w:t>
      </w:r>
    </w:p>
    <w:p w14:paraId="0000010B" w14:textId="77777777" w:rsidR="006F0C9D" w:rsidRPr="008A5F4B" w:rsidRDefault="00000000" w:rsidP="008A5F4B">
      <w:pPr>
        <w:spacing w:after="120" w:line="360" w:lineRule="auto"/>
        <w:jc w:val="both"/>
      </w:pPr>
      <w:r w:rsidRPr="008A5F4B">
        <w:rPr>
          <w:b/>
          <w:bCs/>
        </w:rPr>
        <w:t xml:space="preserve">Figura 8. </w:t>
      </w:r>
      <w:r w:rsidRPr="008A5F4B">
        <w:t>Validación interna del ARI multi-noche. A: MAE del ARI vs. número de noches promediadas (bootstrap, 500 iteraciones); por debajo del umbral 0.05 a partir de 2 noches. B: análisis de Bland–Altman comparando estimación de 1 noche con la media multi-noche por paciente; sesgo=+0.002, límites ±0.118.</w:t>
      </w:r>
    </w:p>
    <w:p w14:paraId="0000010C" w14:textId="77777777" w:rsidR="006F0C9D" w:rsidRPr="008A5F4B" w:rsidRDefault="00000000" w:rsidP="008A5F4B">
      <w:pPr>
        <w:pStyle w:val="Ttulo1"/>
        <w:spacing w:line="360" w:lineRule="auto"/>
        <w:jc w:val="both"/>
        <w:rPr>
          <w:color w:val="auto"/>
        </w:rPr>
      </w:pPr>
      <w:r w:rsidRPr="008A5F4B">
        <w:rPr>
          <w:color w:val="auto"/>
        </w:rPr>
        <w:t>Referencias</w:t>
      </w:r>
    </w:p>
    <w:p w14:paraId="0000010D" w14:textId="77777777" w:rsidR="006F0C9D" w:rsidRPr="008A5F4B" w:rsidRDefault="00000000" w:rsidP="008A5F4B">
      <w:pPr>
        <w:spacing w:after="120" w:line="360" w:lineRule="auto"/>
        <w:jc w:val="both"/>
      </w:pPr>
      <w:r w:rsidRPr="008A5F4B">
        <w:t>1. Young T, Palta M, Dempsey J, Skatrud J, Weber S, Badr S. The occurrence of sleep-disordered breathing among middle-aged adults. N Engl J Med. 1993;328(17):1230–1235. https://doi.org/10.1056/NEJM199304293281704</w:t>
      </w:r>
    </w:p>
    <w:p w14:paraId="0000010E" w14:textId="77777777" w:rsidR="006F0C9D" w:rsidRPr="008A5F4B" w:rsidRDefault="00000000" w:rsidP="008A5F4B">
      <w:pPr>
        <w:spacing w:after="120" w:line="360" w:lineRule="auto"/>
        <w:jc w:val="both"/>
      </w:pPr>
      <w:r w:rsidRPr="008A5F4B">
        <w:lastRenderedPageBreak/>
        <w:t>2. Peppard PE, Young T, Barnet JH, Palta M, Hagen EW, Hla KM. Increased prevalence of sleep-disordered breathing in adults. Am J Epidemiol. 2013;177(9):1006–1014. https://doi.org/10.1093/aje/kws342</w:t>
      </w:r>
    </w:p>
    <w:p w14:paraId="0000010F" w14:textId="77777777" w:rsidR="006F0C9D" w:rsidRPr="008A5F4B" w:rsidRDefault="00000000" w:rsidP="008A5F4B">
      <w:pPr>
        <w:spacing w:after="120" w:line="360" w:lineRule="auto"/>
        <w:jc w:val="both"/>
      </w:pPr>
      <w:r w:rsidRPr="008A5F4B">
        <w:t>3. Punjabi NM, Caffo BS, Goodwin JL, et al. Sleep-disordered breathing and mortality: a prospective cohort study. PLoS Med. 2009;6(8):e1000132. https://doi.org/10.1371/journal.pmed.1000132</w:t>
      </w:r>
    </w:p>
    <w:p w14:paraId="00000110" w14:textId="77777777" w:rsidR="006F0C9D" w:rsidRPr="008A5F4B" w:rsidRDefault="00000000" w:rsidP="008A5F4B">
      <w:pPr>
        <w:spacing w:after="120" w:line="360" w:lineRule="auto"/>
        <w:jc w:val="both"/>
      </w:pPr>
      <w:r w:rsidRPr="008A5F4B">
        <w:t>4. Berry RB, Brooks R, Gamaldo CE, et al. AASM Manual for the Scoring of Sleep and Associated Events. Version 2.6. Darien, IL: American Academy of Sleep Medicine; 2020.</w:t>
      </w:r>
    </w:p>
    <w:p w14:paraId="00000111" w14:textId="77777777" w:rsidR="006F0C9D" w:rsidRPr="008A5F4B" w:rsidRDefault="00000000" w:rsidP="008A5F4B">
      <w:pPr>
        <w:spacing w:after="120" w:line="360" w:lineRule="auto"/>
        <w:jc w:val="both"/>
      </w:pPr>
      <w:r w:rsidRPr="008A5F4B">
        <w:t>5. Azarbarzin A, Sands SA, Stone KL, et al. The hypoxic burden of sleep apnoea predicts cardiovascular disease-related mortality: the Osteoporotic Fractures in Men Study and the Sleep Heart Health Study. Eur Heart J. 2019;40(14):1149–1157. https://doi.org/10.1093/eurheartj/ehy624</w:t>
      </w:r>
    </w:p>
    <w:p w14:paraId="00000112" w14:textId="77777777" w:rsidR="006F0C9D" w:rsidRPr="008A5F4B" w:rsidRDefault="00000000" w:rsidP="008A5F4B">
      <w:pPr>
        <w:spacing w:after="120" w:line="360" w:lineRule="auto"/>
        <w:jc w:val="both"/>
      </w:pPr>
      <w:r w:rsidRPr="008A5F4B">
        <w:t>6. Marin JM, Carrizo SJ, Vicente E, Agusti AG. Long-term cardiovascular outcomes in men with obstructive sleep apnoea-hypopnoea with or without treatment with CPAP. Lancet. 2005;365(9464):1046–1053. https://doi.org/10.1016/S0140-6736(05)71141-7</w:t>
      </w:r>
    </w:p>
    <w:p w14:paraId="00000113" w14:textId="77777777" w:rsidR="006F0C9D" w:rsidRPr="008A5F4B" w:rsidRDefault="00000000" w:rsidP="008A5F4B">
      <w:pPr>
        <w:spacing w:after="120" w:line="360" w:lineRule="auto"/>
        <w:jc w:val="both"/>
      </w:pPr>
      <w:r w:rsidRPr="008A5F4B">
        <w:t>7. Collop NA, Anderson WM, Boehlecke B, et al. Clinical guidelines for the use of unattended portable monitors in the diagnosis of obstructive sleep apnea in adult patients. J Clin Sleep Med. 2007;3(7):737–747. https://doi.org/10.5664/jcsm.26925</w:t>
      </w:r>
    </w:p>
    <w:p w14:paraId="00000114" w14:textId="77777777" w:rsidR="006F0C9D" w:rsidRPr="008A5F4B" w:rsidRDefault="00000000" w:rsidP="008A5F4B">
      <w:pPr>
        <w:spacing w:after="120" w:line="360" w:lineRule="auto"/>
        <w:jc w:val="both"/>
      </w:pPr>
      <w:r w:rsidRPr="008A5F4B">
        <w:t>8. Bittencourt LR, Suchecki D, Tufik S, et al. The variability of the apnoea-hypopnoea index. J Sleep Res. 2001;10(3):245–251. https://doi.org/10.1046/j.1365-2869.2001.00255.x</w:t>
      </w:r>
    </w:p>
    <w:p w14:paraId="00000115" w14:textId="77777777" w:rsidR="006F0C9D" w:rsidRPr="008A5F4B" w:rsidRDefault="00000000" w:rsidP="008A5F4B">
      <w:pPr>
        <w:spacing w:after="120" w:line="360" w:lineRule="auto"/>
        <w:jc w:val="both"/>
      </w:pPr>
      <w:r w:rsidRPr="008A5F4B">
        <w:t>9. Levendowski DJ, Zack N, Rao S, et al. Assessment of the test-retest reliability of laboratory polysomnography. Sleep Breath. 2009;13(2):163–167. https://doi.org/10.1007/s11325-008-0214-6</w:t>
      </w:r>
    </w:p>
    <w:p w14:paraId="00000116" w14:textId="77777777" w:rsidR="006F0C9D" w:rsidRPr="008A5F4B" w:rsidRDefault="00000000" w:rsidP="008A5F4B">
      <w:pPr>
        <w:spacing w:after="120" w:line="360" w:lineRule="auto"/>
        <w:jc w:val="both"/>
      </w:pPr>
      <w:r w:rsidRPr="008A5F4B">
        <w:t>10. Eckert DJ, White DP, Jordan AS, Malhotra A, Wellman A. Defining phenotypic causes of obstructive sleep apnea: identification of novel therapeutic targets. Am J Respir Crit Care Med. 2013;188(8):996–1004. https://doi.org/10.1164/rccm.201303-0448OC</w:t>
      </w:r>
    </w:p>
    <w:p w14:paraId="00000117" w14:textId="77777777" w:rsidR="006F0C9D" w:rsidRPr="008A5F4B" w:rsidRDefault="00000000" w:rsidP="008A5F4B">
      <w:pPr>
        <w:spacing w:after="120" w:line="360" w:lineRule="auto"/>
        <w:jc w:val="both"/>
      </w:pPr>
      <w:r w:rsidRPr="008A5F4B">
        <w:t>11. Ye L, Pien GW, Ratcliffe SJ, et al. The different clinical faces of obstructive sleep apnoea: a cluster analysis. Eur Respir J. 2014;44(6):1600–1607. https://doi.org/10.1183/09031936.00032314</w:t>
      </w:r>
    </w:p>
    <w:p w14:paraId="00000118" w14:textId="77777777" w:rsidR="006F0C9D" w:rsidRPr="008A5F4B" w:rsidRDefault="00000000" w:rsidP="008A5F4B">
      <w:pPr>
        <w:spacing w:after="120" w:line="360" w:lineRule="auto"/>
        <w:jc w:val="both"/>
      </w:pPr>
      <w:r w:rsidRPr="008A5F4B">
        <w:t>12. Shrout PE, Fleiss JL. Intraclass correlations: uses in assessing rater reliability. Psychol Bull. 1979;86(2):420–428. https://doi.org/10.1037/0033-2909.86.2.420</w:t>
      </w:r>
    </w:p>
    <w:p w14:paraId="00000119" w14:textId="77777777" w:rsidR="006F0C9D" w:rsidRPr="008A5F4B" w:rsidRDefault="00000000" w:rsidP="008A5F4B">
      <w:pPr>
        <w:spacing w:after="120" w:line="360" w:lineRule="auto"/>
        <w:jc w:val="both"/>
      </w:pPr>
      <w:r w:rsidRPr="008A5F4B">
        <w:lastRenderedPageBreak/>
        <w:t>13. Bland JM, Altman DG. Statistical methods for assessing agreement between two methods of clinical measurement. Lancet. 1986;1(8476):307–310. https://doi.org/10.1016/S0140-6736(86)90837-8</w:t>
      </w:r>
    </w:p>
    <w:p w14:paraId="0000011A" w14:textId="77777777" w:rsidR="006F0C9D" w:rsidRPr="008A5F4B" w:rsidRDefault="00000000" w:rsidP="008A5F4B">
      <w:pPr>
        <w:spacing w:after="120" w:line="360" w:lineRule="auto"/>
        <w:jc w:val="both"/>
      </w:pPr>
      <w:r w:rsidRPr="008A5F4B">
        <w:t>14. Somers VK, Dyken ME, Mark AL, Abboud FM. Sympathetic-nerve activity during sleep in normal subjects. N Engl J Med. 1993;328(5):303–307. https://doi.org/10.1056/NEJM199302043280502</w:t>
      </w:r>
    </w:p>
    <w:p w14:paraId="0000011B" w14:textId="77777777" w:rsidR="006F0C9D" w:rsidRPr="008A5F4B" w:rsidRDefault="00000000" w:rsidP="008A5F4B">
      <w:pPr>
        <w:spacing w:after="120" w:line="360" w:lineRule="auto"/>
        <w:jc w:val="both"/>
      </w:pPr>
      <w:r w:rsidRPr="008A5F4B">
        <w:t>15. Dempsey JA, Veasey SC, Morgan BJ, O’Donnell CP. Pathophysiology of sleep apnea. Physiol Rev. 2010;90(1):47–112. https://doi.org/10.1152/physrev.00043.2008</w:t>
      </w:r>
    </w:p>
    <w:p w14:paraId="0000011C" w14:textId="77777777" w:rsidR="006F0C9D" w:rsidRPr="008A5F4B" w:rsidRDefault="00000000" w:rsidP="008A5F4B">
      <w:pPr>
        <w:spacing w:after="120" w:line="360" w:lineRule="auto"/>
        <w:jc w:val="both"/>
      </w:pPr>
      <w:r w:rsidRPr="008A5F4B">
        <w:t>16. Shamsuzzaman AS, Gersh BJ, Somers VK. Obstructive sleep apnea: implications for cardiac and vascular disease. JAMA. 2003;290(14):1906–1914. https://doi.org/10.1001/jama.290.14.1906</w:t>
      </w:r>
    </w:p>
    <w:p w14:paraId="0000011D" w14:textId="77777777" w:rsidR="006F0C9D" w:rsidRPr="008A5F4B" w:rsidRDefault="00000000" w:rsidP="008A5F4B">
      <w:pPr>
        <w:spacing w:after="120" w:line="360" w:lineRule="auto"/>
        <w:jc w:val="both"/>
      </w:pPr>
      <w:r w:rsidRPr="008A5F4B">
        <w:t>17. Narkiewicz K, Somers VK. Sympathetic nerve activity in obstructive sleep apnoea. Acta Physiol Scand. 2003;177(3):385–390. https://doi.org/10.1046/j.1365-201X.2003.01091.x</w:t>
      </w:r>
    </w:p>
    <w:p w14:paraId="0000011E" w14:textId="77777777" w:rsidR="006F0C9D" w:rsidRPr="008A5F4B" w:rsidRDefault="00000000" w:rsidP="008A5F4B">
      <w:pPr>
        <w:spacing w:after="120" w:line="360" w:lineRule="auto"/>
        <w:jc w:val="both"/>
      </w:pPr>
      <w:r w:rsidRPr="008A5F4B">
        <w:t>18. Zinchuk AV, Yaggi HK. Phenotypic subtypes of OSA: a challenge and opportunity for precision medicine. Chest. 2020;157(2):403–420. https://doi.org/10.1016/j.chest.2019.09.002</w:t>
      </w:r>
    </w:p>
    <w:p w14:paraId="0000011F" w14:textId="77777777" w:rsidR="006F0C9D" w:rsidRPr="008A5F4B" w:rsidRDefault="00000000" w:rsidP="008A5F4B">
      <w:pPr>
        <w:spacing w:after="120" w:line="360" w:lineRule="auto"/>
        <w:jc w:val="both"/>
      </w:pPr>
      <w:r w:rsidRPr="008A5F4B">
        <w:t>19. Kohler M, Stradling JR. Mechanisms of vascular damage in obstructive sleep apnea. Nat Rev Cardiol. 2010;7(12):677–685. https://doi.org/10.1038/nrcardio.2010.145</w:t>
      </w:r>
    </w:p>
    <w:p w14:paraId="00000120" w14:textId="77777777" w:rsidR="006F0C9D" w:rsidRPr="008A5F4B" w:rsidRDefault="00000000" w:rsidP="008A5F4B">
      <w:pPr>
        <w:spacing w:after="120" w:line="360" w:lineRule="auto"/>
        <w:jc w:val="both"/>
      </w:pPr>
      <w:r w:rsidRPr="008A5F4B">
        <w:t>20. Narkiewicz K, Somers VK, Montano N, et al. Contribution of tonic chemoreflex activation to sympathetic activity and blood pressure in patients with obstructive sleep apnea. Circulation. 1998;97(10):943–945. https://doi.org/10.1161/01.cir.97.10.943</w:t>
      </w:r>
    </w:p>
    <w:p w14:paraId="00000121" w14:textId="77777777" w:rsidR="006F0C9D" w:rsidRPr="008A5F4B" w:rsidRDefault="00000000" w:rsidP="008A5F4B">
      <w:pPr>
        <w:spacing w:after="120" w:line="360" w:lineRule="auto"/>
        <w:jc w:val="both"/>
      </w:pPr>
      <w:r w:rsidRPr="008A5F4B">
        <w:t>21. Bailly S, Destors M, Grillet Y, et al. Obstructive sleep apnea: a cluster analysis at time of diagnosis. PLoS One. 2016;11(6):e0157318. https://doi.org/10.1371/journal.pone.0157318</w:t>
      </w:r>
    </w:p>
    <w:p w14:paraId="00000122" w14:textId="77777777" w:rsidR="006F0C9D" w:rsidRPr="008A5F4B" w:rsidRDefault="00000000" w:rsidP="008A5F4B">
      <w:pPr>
        <w:spacing w:after="120" w:line="360" w:lineRule="auto"/>
        <w:jc w:val="both"/>
      </w:pPr>
      <w:r w:rsidRPr="008A5F4B">
        <w:t>22. Gabryelska A, Szmyd B, Szemraj J, Stawski R, Sochal M, Białasiewicz P. Patients with obstructive sleep apnea present with chronic upregulation of serum HIF-1α protein. J Clin Sleep Med. 2020;16(10):1761–1768. https://doi.org/10.5664/jcsm.8682</w:t>
      </w:r>
    </w:p>
    <w:p w14:paraId="00000123" w14:textId="77777777" w:rsidR="006F0C9D" w:rsidRPr="008A5F4B" w:rsidRDefault="00000000" w:rsidP="008A5F4B">
      <w:pPr>
        <w:spacing w:after="120" w:line="360" w:lineRule="auto"/>
        <w:jc w:val="both"/>
      </w:pPr>
      <w:r w:rsidRPr="008A5F4B">
        <w:t>23. Kapur VK, Auckley DH, Chowdhuri S, et al. Clinical practice guideline for diagnostic testing for adult obstructive sleep apnea. J Clin Sleep Med. 2017;13(3):479–504. https://doi.org/10.5664/jcsm.6506</w:t>
      </w:r>
    </w:p>
    <w:sectPr w:rsidR="006F0C9D" w:rsidRPr="008A5F4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0002B61-28D0-B94C-B19C-F0FF1EC725A8}"/>
    <w:embedBold r:id="rId2" w:fontKey="{F7FB2487-47DC-054D-9D2B-6C51278C8D90}"/>
    <w:embedItalic r:id="rId3" w:fontKey="{D11EABE8-73B9-1047-B824-51268BB4CF41}"/>
  </w:font>
  <w:font w:name="Georgia">
    <w:panose1 w:val="02040502050405020303"/>
    <w:charset w:val="00"/>
    <w:family w:val="roman"/>
    <w:pitch w:val="variable"/>
    <w:sig w:usb0="00000287" w:usb1="00000000" w:usb2="00000000" w:usb3="00000000" w:csb0="0000009F" w:csb1="00000000"/>
    <w:embedItalic r:id="rId4" w:fontKey="{F457CA23-D996-6143-B5C1-60A34DD9C11B}"/>
  </w:font>
  <w:font w:name="Caudex">
    <w:charset w:val="00"/>
    <w:family w:val="auto"/>
    <w:pitch w:val="default"/>
    <w:embedRegular r:id="rId5" w:fontKey="{B8F7F86F-AE29-4340-8404-C4C648DB15C2}"/>
    <w:embedItalic r:id="rId6" w:fontKey="{D9C8B43B-FD1F-9B48-93CC-F9DF487D0C46}"/>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7" w:fontKey="{CF0D836E-5E68-BD4B-8930-5BC7B8DB38D0}"/>
  </w:font>
  <w:font w:name="Calibri">
    <w:panose1 w:val="020F0502020204030204"/>
    <w:charset w:val="00"/>
    <w:family w:val="modern"/>
    <w:pitch w:val="variable"/>
    <w:sig w:usb0="00000003" w:usb1="00000000" w:usb2="00000000" w:usb3="00000000" w:csb0="00000001" w:csb1="00000000"/>
    <w:embedRegular r:id="rId8" w:fontKey="{CBB19FF5-5ED0-FF44-B334-A5BEFD33908D}"/>
  </w:font>
  <w:font w:name="Cambria">
    <w:panose1 w:val="02040503050406030204"/>
    <w:charset w:val="00"/>
    <w:family w:val="roman"/>
    <w:notTrueType/>
    <w:pitch w:val="default"/>
    <w:embedRegular r:id="rId9" w:fontKey="{854AA279-D88B-734C-8CC1-AAAC522030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C9D"/>
    <w:rsid w:val="0060767B"/>
    <w:rsid w:val="006F0C9D"/>
    <w:rsid w:val="008A5F4B"/>
    <w:rsid w:val="00913A78"/>
    <w:rsid w:val="009B310E"/>
    <w:rsid w:val="00D34F4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FA864E4"/>
  <w15:docId w15:val="{F170733F-2586-8845-877E-A25C6322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120"/>
      <w:outlineLvl w:val="0"/>
    </w:pPr>
    <w:rPr>
      <w:b/>
      <w:bCs/>
      <w:color w:val="000000"/>
    </w:rPr>
  </w:style>
  <w:style w:type="paragraph" w:styleId="Ttulo2">
    <w:name w:val="heading 2"/>
    <w:basedOn w:val="Normal"/>
    <w:next w:val="Normal"/>
    <w:uiPriority w:val="9"/>
    <w:unhideWhenUsed/>
    <w:qFormat/>
    <w:pPr>
      <w:pBdr>
        <w:top w:val="nil"/>
        <w:left w:val="nil"/>
        <w:bottom w:val="nil"/>
        <w:right w:val="nil"/>
        <w:between w:val="nil"/>
      </w:pBdr>
      <w:spacing w:before="180" w:after="80"/>
      <w:outlineLvl w:val="1"/>
    </w:pPr>
    <w:rPr>
      <w:b/>
      <w:bCs/>
      <w:color w:val="000000"/>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NvCFSFNDT/fTbyOzUDG5VZmcg==">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5327</Words>
  <Characters>31914</Characters>
  <Application>Microsoft Office Word</Application>
  <DocSecurity>0</DocSecurity>
  <Lines>651</Lines>
  <Paragraphs>321</Paragraphs>
  <ScaleCrop>false</ScaleCrop>
  <Company/>
  <LinksUpToDate>false</LinksUpToDate>
  <CharactersWithSpaces>36920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Inza</cp:lastModifiedBy>
  <cp:revision>6</cp:revision>
  <dcterms:created xsi:type="dcterms:W3CDTF">2026-05-25T22:16:00Z</dcterms:created>
  <dcterms:modified xsi:type="dcterms:W3CDTF">2026-05-26T00:14:00Z</dcterms:modified>
</cp:coreProperties>
</file>