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2522" w14:textId="77777777" w:rsidR="00DE3C30" w:rsidRDefault="00000000">
      <w:pPr>
        <w:spacing w:after="240" w:line="360" w:lineRule="auto"/>
        <w:jc w:val="center"/>
      </w:pPr>
      <w:r>
        <w:rPr>
          <w:b/>
          <w:bCs/>
        </w:rPr>
        <w:t>CARÁTULA DE PRESENTACIÓN</w:t>
      </w:r>
    </w:p>
    <w:p w14:paraId="3C897E51" w14:textId="77777777" w:rsidR="00DE3C30" w:rsidRDefault="00000000">
      <w:pPr>
        <w:spacing w:before="120" w:after="60" w:line="360" w:lineRule="auto"/>
      </w:pPr>
      <w:r>
        <w:rPr>
          <w:b/>
          <w:bCs/>
        </w:rPr>
        <w:t>Título (español):</w:t>
      </w:r>
    </w:p>
    <w:p w14:paraId="01BFB1BC" w14:textId="77777777" w:rsidR="00DE3C30" w:rsidRDefault="00000000">
      <w:pPr>
        <w:spacing w:after="120" w:line="360" w:lineRule="auto"/>
      </w:pPr>
      <w:r>
        <w:t>Fenotipado morfológico y respuesta autonómica en eventos de desaturación nocturna: un enfoque basado en datos más allá de los índices clásicos</w:t>
      </w:r>
    </w:p>
    <w:p w14:paraId="321237A3" w14:textId="77777777" w:rsidR="00DE3C30" w:rsidRDefault="00DE3C30">
      <w:pPr>
        <w:spacing w:line="360" w:lineRule="auto"/>
      </w:pPr>
    </w:p>
    <w:p w14:paraId="7FED46D9" w14:textId="77777777" w:rsidR="00DE3C30" w:rsidRDefault="00000000">
      <w:pPr>
        <w:spacing w:before="120" w:after="60" w:line="360" w:lineRule="auto"/>
      </w:pPr>
      <w:r>
        <w:rPr>
          <w:b/>
          <w:bCs/>
        </w:rPr>
        <w:t>Title (English):</w:t>
      </w:r>
    </w:p>
    <w:p w14:paraId="4CC3F37C" w14:textId="77777777" w:rsidR="00DE3C30" w:rsidRDefault="00000000">
      <w:pPr>
        <w:spacing w:after="120" w:line="360" w:lineRule="auto"/>
      </w:pPr>
      <w:r>
        <w:t>Data-driven morphotyping of nocturnal oxygen desaturation events reveals distinct autonomic response phenotypes beyond traditional severity indices</w:t>
      </w:r>
    </w:p>
    <w:p w14:paraId="1460B13E" w14:textId="77777777" w:rsidR="00DE3C30" w:rsidRDefault="00DE3C30">
      <w:pPr>
        <w:spacing w:line="360" w:lineRule="auto"/>
      </w:pPr>
    </w:p>
    <w:p w14:paraId="5C7C5F27" w14:textId="77777777" w:rsidR="00DE3C30" w:rsidRDefault="00000000">
      <w:pPr>
        <w:spacing w:before="120" w:after="60" w:line="360" w:lineRule="auto"/>
      </w:pPr>
      <w:r>
        <w:rPr>
          <w:b/>
          <w:bCs/>
        </w:rPr>
        <w:t>Autores y afiliaciones:</w:t>
      </w:r>
    </w:p>
    <w:p w14:paraId="2A5B4DE3" w14:textId="5D5C1C32" w:rsidR="00DE3C30" w:rsidRDefault="00000000">
      <w:pPr>
        <w:spacing w:after="120" w:line="360" w:lineRule="auto"/>
      </w:pPr>
      <w:bookmarkStart w:id="0" w:name="OLE_LINK1"/>
      <w:r w:rsidRPr="00B80E21">
        <w:rPr>
          <w:b/>
          <w:bCs/>
        </w:rPr>
        <w:t>Dr. Delia Diego</w:t>
      </w:r>
      <w:r>
        <w:t xml:space="preserve"> </w:t>
      </w:r>
      <w:r w:rsidR="00B80E21">
        <w:t xml:space="preserve">- Médico Anestesiólogo </w:t>
      </w:r>
      <w:r>
        <w:t xml:space="preserve">— </w:t>
      </w:r>
      <w:r w:rsidR="00B80E21" w:rsidRPr="00B80E21">
        <w:t>Sanatorio Mater Dei, Departamento de Anestesiologia</w:t>
      </w:r>
      <w:r>
        <w:t>, Buenos Aires, Argentina</w:t>
      </w:r>
      <w:r w:rsidR="00B80E21">
        <w:t xml:space="preserve"> </w:t>
      </w:r>
      <w:r w:rsidR="00B80E21">
        <w:t xml:space="preserve">| Correo electrónico: </w:t>
      </w:r>
      <w:r w:rsidR="00B80E21">
        <w:rPr>
          <w:i/>
          <w:iCs/>
        </w:rPr>
        <w:t>[</w:t>
      </w:r>
      <w:r w:rsidR="00B80E21" w:rsidRPr="00B80E21">
        <w:rPr>
          <w:i/>
          <w:iCs/>
        </w:rPr>
        <w:t>delia@anestesiologo.org</w:t>
      </w:r>
      <w:r w:rsidR="00B80E21">
        <w:rPr>
          <w:i/>
          <w:iCs/>
        </w:rPr>
        <w:t>]</w:t>
      </w:r>
    </w:p>
    <w:p w14:paraId="0762F926" w14:textId="22A9DD43" w:rsidR="00DE3C30" w:rsidRDefault="00B80E21">
      <w:pPr>
        <w:spacing w:after="120" w:line="360" w:lineRule="auto"/>
      </w:pPr>
      <w:r>
        <w:rPr>
          <w:rStyle w:val="Fuerte"/>
        </w:rPr>
        <w:t>Dr. Roberto Inza</w:t>
      </w:r>
      <w:r>
        <w:t xml:space="preserve"> </w:t>
      </w:r>
      <w:r>
        <w:t xml:space="preserve"> - </w:t>
      </w:r>
      <w:r>
        <w:t xml:space="preserve">Médico Ginecólogo — Instituto de Fertilidad y Reproducción (IFER), Buenos Aires, Argentina Diplomado en Ciencia de Datos, UADE. Maestrando en Ciencia de Datos, Universidad Austral. </w:t>
      </w:r>
    </w:p>
    <w:bookmarkEnd w:id="0"/>
    <w:p w14:paraId="7AFCD7F4" w14:textId="77777777" w:rsidR="00DE3C30" w:rsidRDefault="00DE3C30">
      <w:pPr>
        <w:spacing w:line="360" w:lineRule="auto"/>
      </w:pPr>
    </w:p>
    <w:p w14:paraId="50F5B1D6" w14:textId="77777777" w:rsidR="00DE3C30" w:rsidRDefault="00000000" w:rsidP="00B80E21">
      <w:pPr>
        <w:spacing w:before="120" w:after="60" w:line="360" w:lineRule="auto"/>
        <w:jc w:val="both"/>
      </w:pPr>
      <w:r>
        <w:rPr>
          <w:b/>
          <w:bCs/>
        </w:rPr>
        <w:t>Resumen estructurado (español):</w:t>
      </w:r>
    </w:p>
    <w:p w14:paraId="7CB444DE" w14:textId="77777777" w:rsidR="00DE3C30" w:rsidRDefault="00000000" w:rsidP="00B80E21">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2AC2E898" w14:textId="77777777" w:rsidR="00DE3C30" w:rsidRDefault="00000000" w:rsidP="00B80E21">
      <w:pPr>
        <w:spacing w:after="120" w:line="360" w:lineRule="auto"/>
        <w:jc w:val="both"/>
      </w:pPr>
      <w:r>
        <w:rPr>
          <w:b/>
          <w:bCs/>
        </w:rPr>
        <w:t xml:space="preserve">Métodos: </w:t>
      </w:r>
      <w:r>
        <w:t>Se caracterizaron 85.277 EDOs provenientes de 560 noches domiciliarias de 12 pacientes,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1261D0EF" w14:textId="77777777" w:rsidR="00DE3C30" w:rsidRDefault="00000000" w:rsidP="00B80E21">
      <w:pPr>
        <w:spacing w:after="120"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w:t>
      </w:r>
      <w:r>
        <w:lastRenderedPageBreak/>
        <w:t>para ganancia de FC). La validación multi-noche confirmó estabilidad creciente: el ICC del ODI3 escaló de 0.70 (una noche) a 0.99 (14 noches); el ARI presentó error absoluto medio por debajo del umbral operacional desde la primera noche de registro.</w:t>
      </w:r>
    </w:p>
    <w:p w14:paraId="4D991FC3" w14:textId="77777777" w:rsidR="00DE3C30" w:rsidRDefault="00000000" w:rsidP="00B80E21">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06646BDD" w14:textId="77777777" w:rsidR="00DE3C30" w:rsidRDefault="00DE3C30" w:rsidP="00B80E21">
      <w:pPr>
        <w:spacing w:line="360" w:lineRule="auto"/>
        <w:jc w:val="both"/>
      </w:pPr>
    </w:p>
    <w:p w14:paraId="558A9F9A" w14:textId="77777777" w:rsidR="00DE3C30" w:rsidRDefault="00000000" w:rsidP="00B80E21">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4219B821" w14:textId="77777777" w:rsidR="00DE3C30" w:rsidRDefault="00DE3C30" w:rsidP="00B80E21">
      <w:pPr>
        <w:spacing w:line="360" w:lineRule="auto"/>
        <w:jc w:val="both"/>
      </w:pPr>
    </w:p>
    <w:p w14:paraId="6FB99404" w14:textId="77777777" w:rsidR="00DE3C30" w:rsidRDefault="00000000" w:rsidP="00B80E21">
      <w:pPr>
        <w:spacing w:before="120" w:after="60" w:line="360" w:lineRule="auto"/>
        <w:jc w:val="both"/>
      </w:pPr>
      <w:r>
        <w:rPr>
          <w:b/>
          <w:bCs/>
        </w:rPr>
        <w:t>Structured Abstract (English):</w:t>
      </w:r>
    </w:p>
    <w:p w14:paraId="3D7048FA" w14:textId="77777777" w:rsidR="00DE3C30" w:rsidRDefault="00000000" w:rsidP="00B80E21">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7AC6B7A" w14:textId="77777777" w:rsidR="00DE3C30" w:rsidRDefault="00000000" w:rsidP="00B80E21">
      <w:pPr>
        <w:spacing w:after="120" w:line="360" w:lineRule="auto"/>
        <w:jc w:val="both"/>
      </w:pPr>
      <w:r>
        <w:rPr>
          <w:b/>
          <w:bCs/>
        </w:rPr>
        <w:t xml:space="preserve">Methods: </w:t>
      </w:r>
      <w:r>
        <w:t>A data-driven framework was applied to characterize 85,277 ODEs from 560 home-monitoring nights across 12 patients,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CA3D3D4" w14:textId="77777777" w:rsidR="00DE3C30" w:rsidRDefault="00000000" w:rsidP="00B80E21">
      <w:pPr>
        <w:spacing w:after="120" w:line="360" w:lineRule="auto"/>
        <w:jc w:val="both"/>
      </w:pPr>
      <w:r>
        <w:rPr>
          <w:b/>
          <w:bCs/>
        </w:rPr>
        <w:t xml:space="preserve">Results: </w:t>
      </w:r>
      <w:r>
        <w:t>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14:paraId="440241CF" w14:textId="77777777" w:rsidR="00DE3C30" w:rsidRDefault="00000000" w:rsidP="00B80E21">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25A37B37" w14:textId="77777777" w:rsidR="00DE3C30" w:rsidRDefault="00DE3C30" w:rsidP="00B80E21">
      <w:pPr>
        <w:spacing w:line="360" w:lineRule="auto"/>
        <w:jc w:val="both"/>
      </w:pPr>
    </w:p>
    <w:p w14:paraId="0BBABEBB" w14:textId="77777777" w:rsidR="00DE3C30" w:rsidRDefault="00000000" w:rsidP="00B80E21">
      <w:pPr>
        <w:spacing w:after="120" w:line="360" w:lineRule="auto"/>
        <w:jc w:val="both"/>
      </w:pPr>
      <w:r>
        <w:rPr>
          <w:b/>
          <w:bCs/>
        </w:rPr>
        <w:lastRenderedPageBreak/>
        <w:t xml:space="preserve">Keywords (English): </w:t>
      </w:r>
      <w:r>
        <w:t>sleep-disordered breathing; morphological phenotyping; obstructive sleep apnea; autonomic response index; home oximetry; data-driven analysis</w:t>
      </w:r>
    </w:p>
    <w:p w14:paraId="1633C5EE" w14:textId="77777777" w:rsidR="00DE3C30" w:rsidRDefault="00DE3C30" w:rsidP="00B80E21">
      <w:pPr>
        <w:spacing w:line="360" w:lineRule="auto"/>
        <w:jc w:val="both"/>
      </w:pPr>
    </w:p>
    <w:p w14:paraId="5B3D0590" w14:textId="77777777" w:rsidR="00DE3C30" w:rsidRDefault="00000000" w:rsidP="00B80E21">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4F0B57CD" w14:textId="77777777" w:rsidR="00DE3C30" w:rsidRDefault="00DE3C30" w:rsidP="00B80E21">
      <w:pPr>
        <w:spacing w:line="360" w:lineRule="auto"/>
        <w:jc w:val="both"/>
      </w:pPr>
    </w:p>
    <w:p w14:paraId="0134424C" w14:textId="7CD90658" w:rsidR="00DE3C30" w:rsidRDefault="00000000" w:rsidP="00B80E21">
      <w:pPr>
        <w:spacing w:after="120" w:line="360" w:lineRule="auto"/>
        <w:jc w:val="both"/>
      </w:pPr>
      <w:r>
        <w:rPr>
          <w:b/>
          <w:bCs/>
        </w:rPr>
        <w:t xml:space="preserve">Consideraciones éticas: </w:t>
      </w:r>
      <w:r w:rsidR="00C8065C">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4CE00386" w14:textId="77777777" w:rsidR="00DE3C30" w:rsidRDefault="00DE3C30">
      <w:pPr>
        <w:spacing w:line="360" w:lineRule="auto"/>
      </w:pPr>
    </w:p>
    <w:p w14:paraId="48F40213" w14:textId="77777777" w:rsidR="00DE3C30" w:rsidRDefault="00000000">
      <w:r>
        <w:br w:type="page"/>
      </w:r>
    </w:p>
    <w:p w14:paraId="54006266" w14:textId="77777777" w:rsidR="00DE3C30" w:rsidRDefault="00000000">
      <w:pPr>
        <w:spacing w:after="60" w:line="360" w:lineRule="auto"/>
        <w:jc w:val="center"/>
      </w:pPr>
      <w:r>
        <w:rPr>
          <w:b/>
          <w:bCs/>
        </w:rPr>
        <w:lastRenderedPageBreak/>
        <w:t>TEXTO PRINCIPAL</w:t>
      </w:r>
    </w:p>
    <w:p w14:paraId="2DCBD88B" w14:textId="77777777" w:rsidR="00DE3C30" w:rsidRDefault="00000000">
      <w:pPr>
        <w:spacing w:after="240" w:line="360" w:lineRule="auto"/>
        <w:jc w:val="center"/>
      </w:pPr>
      <w:r>
        <w:rPr>
          <w:i/>
          <w:iCs/>
        </w:rPr>
        <w:t>(Deidentificado — sin datos de autores)</w:t>
      </w:r>
    </w:p>
    <w:p w14:paraId="003F1F25" w14:textId="77777777" w:rsidR="00DE3C30"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109A8F55" w14:textId="77777777" w:rsidR="00DE3C30"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14796EE6" w14:textId="77777777" w:rsidR="00DE3C30" w:rsidRDefault="00000000">
      <w:pPr>
        <w:pStyle w:val="Ttulo1"/>
        <w:spacing w:line="360" w:lineRule="auto"/>
      </w:pPr>
      <w:r>
        <w:t>Resumen</w:t>
      </w:r>
    </w:p>
    <w:p w14:paraId="11A0262F" w14:textId="77777777" w:rsidR="00DE3C30" w:rsidRDefault="00000000">
      <w:pPr>
        <w:spacing w:after="120" w:line="360" w:lineRule="auto"/>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47E5A0B0" w14:textId="77777777" w:rsidR="00DE3C30" w:rsidRDefault="00000000">
      <w:pPr>
        <w:spacing w:after="120" w:line="360" w:lineRule="auto"/>
      </w:pPr>
      <w:r>
        <w:rPr>
          <w:b/>
          <w:bCs/>
        </w:rPr>
        <w:t xml:space="preserve">Métodos: </w:t>
      </w:r>
      <w:r>
        <w:t>Se caracterizaron 85.277 EDOs provenientes de 560 noches domiciliarias de 12 pacientes, integrando la morfología de la curva de SpO₂ con señales de FC y movimiento mediante PCA y K-means. Se desarrolló un Índice de Respuesta Autonómica (ARI) ortogonal a la severidad hipóxica. La reproducibilidad multi-noche se evaluó mediante ICC y análisis de Bland-Altman.</w:t>
      </w:r>
    </w:p>
    <w:p w14:paraId="4F525423" w14:textId="77777777" w:rsidR="00DE3C30" w:rsidRDefault="00000000">
      <w:pPr>
        <w:spacing w:after="120" w:line="360" w:lineRule="auto"/>
      </w:pPr>
      <w:r>
        <w:rPr>
          <w:b/>
          <w:bCs/>
        </w:rPr>
        <w:t xml:space="preserve">Resultados: </w:t>
      </w:r>
      <w:r>
        <w:t>Se identificaron cinco fenotipos morfológicos reproducibles (C1–C5). El ARI fue ortogonal a la severidad hipóxica (ρ=0.034) y diferenció noches con carga hipóxica equivalente (p&lt;0.001). El ICC del ODI3 escaló de 0.70 a 0.99 (14 noches); el ARI presentó MAE por debajo del umbral operacional desde la primera noche.</w:t>
      </w:r>
    </w:p>
    <w:p w14:paraId="2472AAB8" w14:textId="77777777" w:rsidR="00DE3C30" w:rsidRDefault="00000000">
      <w:pPr>
        <w:spacing w:after="120" w:line="360" w:lineRule="auto"/>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5E0C0CD0" w14:textId="77777777" w:rsidR="00DE3C30" w:rsidRDefault="00DE3C30">
      <w:pPr>
        <w:spacing w:line="360" w:lineRule="auto"/>
      </w:pPr>
    </w:p>
    <w:p w14:paraId="0F547BB4" w14:textId="77777777" w:rsidR="00DE3C30" w:rsidRDefault="00000000">
      <w:pPr>
        <w:spacing w:after="120" w:line="360" w:lineRule="auto"/>
      </w:pPr>
      <w:r>
        <w:rPr>
          <w:b/>
          <w:bCs/>
        </w:rPr>
        <w:t xml:space="preserve">Palabras clave: </w:t>
      </w:r>
      <w:r>
        <w:t>trastornos respiratorios del sueño; fenotipado morfológico; apnea del sueño; índice de respuesta autonómica; oximetría domiciliaria; análisis basado en datos</w:t>
      </w:r>
    </w:p>
    <w:p w14:paraId="371A70B3" w14:textId="77777777" w:rsidR="00DE3C30" w:rsidRDefault="00000000">
      <w:pPr>
        <w:spacing w:after="120" w:line="360" w:lineRule="auto"/>
      </w:pPr>
      <w:r>
        <w:rPr>
          <w:b/>
          <w:bCs/>
        </w:rPr>
        <w:t xml:space="preserve">Keywords: </w:t>
      </w:r>
      <w:r>
        <w:t>sleep-disordered breathing; morphological phenotyping; obstructive sleep apnea; autonomic response index; home oximetry; data-driven analysis</w:t>
      </w:r>
    </w:p>
    <w:p w14:paraId="0C62415F" w14:textId="77777777" w:rsidR="00DE3C30" w:rsidRDefault="00DE3C30">
      <w:pPr>
        <w:spacing w:line="360" w:lineRule="auto"/>
      </w:pPr>
    </w:p>
    <w:p w14:paraId="307291C9" w14:textId="77777777" w:rsidR="00DE3C30" w:rsidRDefault="00000000">
      <w:pPr>
        <w:pStyle w:val="Ttulo1"/>
        <w:spacing w:line="360" w:lineRule="auto"/>
      </w:pPr>
      <w:r>
        <w:lastRenderedPageBreak/>
        <w:t>1. Introducción</w:t>
      </w:r>
    </w:p>
    <w:p w14:paraId="364F8F4E" w14:textId="2A74F35C" w:rsidR="00DE3C30" w:rsidRDefault="00000000" w:rsidP="00ED65EA">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sidR="00ED65EA" w:rsidRPr="00560CB1">
        <w:rPr>
          <w:vertAlign w:val="superscript"/>
        </w:rPr>
        <w:t>[</w:t>
      </w:r>
      <w:r w:rsidRPr="00560CB1">
        <w:rPr>
          <w:vertAlign w:val="superscript"/>
        </w:rPr>
        <w:t>1,2,3</w:t>
      </w:r>
      <w:r w:rsidR="00ED65EA" w:rsidRPr="00560CB1">
        <w:rPr>
          <w:vertAlign w:val="superscript"/>
        </w:rPr>
        <w:t>]</w:t>
      </w:r>
      <w:r>
        <w:t xml:space="preserve"> Su diagnóstico se basa desde hace décadas en el índice de apnea-hipopnea (AHI) y en métricas derivadas como el índice de desaturación de oxígeno (ODI) y el tiempo con saturación inferior al 90% (T90).</w:t>
      </w:r>
      <w:r w:rsidR="00560CB1" w:rsidRPr="00560CB1">
        <w:rPr>
          <w:vertAlign w:val="superscript"/>
        </w:rPr>
        <w:t>[</w:t>
      </w:r>
      <w:r w:rsidRPr="00560CB1">
        <w:rPr>
          <w:vertAlign w:val="superscript"/>
        </w:rPr>
        <w:t>4</w:t>
      </w:r>
      <w:r w:rsidR="00560CB1" w:rsidRPr="00560CB1">
        <w:rPr>
          <w:vertAlign w:val="superscript"/>
        </w:rPr>
        <w:t>]</w:t>
      </w:r>
      <w: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25398186" w14:textId="5F1681B4" w:rsidR="00DE3C30" w:rsidRDefault="00000000" w:rsidP="00560CB1">
      <w:pPr>
        <w:spacing w:after="120" w:line="360" w:lineRule="auto"/>
        <w:jc w:val="both"/>
      </w:pPr>
      <w:r>
        <w:t>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560CB1" w:rsidRPr="00560CB1">
        <w:rPr>
          <w:vertAlign w:val="superscript"/>
        </w:rPr>
        <w:t>[</w:t>
      </w:r>
      <w:r w:rsidRPr="00560CB1">
        <w:rPr>
          <w:vertAlign w:val="superscript"/>
        </w:rPr>
        <w:t>5,6</w:t>
      </w:r>
      <w:r w:rsidR="00560CB1" w:rsidRPr="00560CB1">
        <w:rPr>
          <w:vertAlign w:val="superscript"/>
        </w:rPr>
        <w:t>]</w:t>
      </w:r>
    </w:p>
    <w:p w14:paraId="2A2AB185" w14:textId="2AC04282" w:rsidR="00DE3C30" w:rsidRDefault="00000000" w:rsidP="00A85F73">
      <w:pPr>
        <w:spacing w:after="120" w:line="360" w:lineRule="auto"/>
        <w:jc w:val="both"/>
      </w:pPr>
      <w:r>
        <w:t>La carga hipóxica (</w:t>
      </w:r>
      <w:r w:rsidRPr="00A85F73">
        <w:rPr>
          <w:i/>
          <w:iCs/>
        </w:rPr>
        <w:t>hypoxic burden</w:t>
      </w:r>
      <w:r>
        <w:t>), definida como el área bajo la curva de SpO₂ durante los eventos respiratorios, se ha asociado con mortalidad cardiovascular de forma independiente al AHI.</w:t>
      </w:r>
      <w:r w:rsidR="00A85F73" w:rsidRPr="00A85F73">
        <w:rPr>
          <w:vertAlign w:val="superscript"/>
        </w:rPr>
        <w:t>[</w:t>
      </w:r>
      <w:r w:rsidRPr="00A85F73">
        <w:rPr>
          <w:vertAlign w:val="superscript"/>
        </w:rPr>
        <w:t>5</w:t>
      </w:r>
      <w:r w:rsidR="00A85F73" w:rsidRPr="00A85F73">
        <w:rPr>
          <w:vertAlign w:val="superscript"/>
        </w:rPr>
        <w:t>]</w:t>
      </w:r>
      <w:r>
        <w:t xml:space="preserve"> Esta evidencia refuerza el argumento de que la dinámica temporal de cada evento contiene información clínica relevante. Los avances en monitoreo domiciliario</w:t>
      </w:r>
      <w:r w:rsidR="00A85F73" w:rsidRPr="00A85F73">
        <w:rPr>
          <w:vertAlign w:val="superscript"/>
        </w:rPr>
        <w:t>[</w:t>
      </w:r>
      <w:r w:rsidRPr="00A85F73">
        <w:rPr>
          <w:vertAlign w:val="superscript"/>
        </w:rPr>
        <w:t>7</w:t>
      </w:r>
      <w:r w:rsidR="00A85F73" w:rsidRPr="00A85F73">
        <w:rPr>
          <w:vertAlign w:val="superscript"/>
        </w:rPr>
        <w:t>]</w:t>
      </w:r>
      <w:r>
        <w:t xml:space="preserve"> permiten estudiar esta dinámica de forma longitudinal en condiciones ecológicamente válidas.</w:t>
      </w:r>
    </w:p>
    <w:p w14:paraId="42E90BDD" w14:textId="07DE139B" w:rsidR="00DE3C30" w:rsidRDefault="00000000" w:rsidP="00EA3386">
      <w:pPr>
        <w:spacing w:after="120" w:line="360" w:lineRule="auto"/>
        <w:jc w:val="both"/>
      </w:pPr>
      <w:r>
        <w:t xml:space="preserve">El presente trabajo propone un marco analítico basado en datos con tres objetivos específicos: (1) identificar fenotipos morfológicos reproducibles de los </w:t>
      </w:r>
      <w:r w:rsidR="00A85F73">
        <w:t>evetons de desaturación de oxígeno (</w:t>
      </w:r>
      <w:r>
        <w:t>EDO</w:t>
      </w:r>
      <w:r w:rsidR="00A85F73">
        <w:t>)</w:t>
      </w:r>
      <w:r>
        <w:t xml:space="preserve">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0179013E" w14:textId="77777777" w:rsidR="00DE3C30" w:rsidRDefault="00000000">
      <w:pPr>
        <w:pStyle w:val="Ttulo1"/>
        <w:spacing w:line="360" w:lineRule="auto"/>
      </w:pPr>
      <w:r>
        <w:t>2. Materiales y Métodos</w:t>
      </w:r>
    </w:p>
    <w:p w14:paraId="1A3166D7" w14:textId="77777777" w:rsidR="00DE3C30" w:rsidRDefault="00000000">
      <w:pPr>
        <w:pStyle w:val="Ttulo2"/>
        <w:spacing w:line="360" w:lineRule="auto"/>
      </w:pPr>
      <w:r>
        <w:t>2.1 Diseño del estudio y cohorte</w:t>
      </w:r>
    </w:p>
    <w:p w14:paraId="74430C3D" w14:textId="7046D785" w:rsidR="00DE3C30" w:rsidRDefault="00000000" w:rsidP="00EA3386">
      <w:pPr>
        <w:spacing w:after="120" w:line="360" w:lineRule="auto"/>
        <w:jc w:val="both"/>
      </w:pPr>
      <w:r>
        <w:t xml:space="preserve">Se realizó un análisis retrospectivo observacional de señales fisiológicas nocturnas adquiridas en entorno domiciliario. La cohorte incluyó 12 pacientes y 560 noches en total. Los pacientes </w:t>
      </w:r>
      <w:r>
        <w:lastRenderedPageBreak/>
        <w:t>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w:t>
      </w:r>
      <w:r w:rsidR="00EA3386" w:rsidRPr="00EA3386">
        <w:rPr>
          <w:vertAlign w:val="superscript"/>
        </w:rPr>
        <w:t>[</w:t>
      </w:r>
      <w:r w:rsidRPr="00EA3386">
        <w:rPr>
          <w:vertAlign w:val="superscript"/>
        </w:rPr>
        <w:t>7</w:t>
      </w:r>
      <w:r w:rsidR="00EA3386" w:rsidRPr="00EA3386">
        <w:rPr>
          <w:vertAlign w:val="superscript"/>
        </w:rPr>
        <w:t>]</w:t>
      </w:r>
      <w:r>
        <w:t xml:space="preserve"> Las señales incluyeron SpO₂ a 1 Hz, FC y nivel de movimiento (MOV); duración media del registro: 5.8 ± 1.5 horas.</w:t>
      </w:r>
    </w:p>
    <w:p w14:paraId="4B39661A" w14:textId="36690934" w:rsidR="00DE3C30" w:rsidRDefault="00000000">
      <w:pPr>
        <w:pStyle w:val="Ttulo2"/>
        <w:spacing w:line="360" w:lineRule="auto"/>
      </w:pPr>
      <w:r>
        <w:t>2.2 Pipeline PAC_v</w:t>
      </w:r>
      <w:r w:rsidR="00EA3386">
        <w:t>3</w:t>
      </w:r>
      <w:r>
        <w:t xml:space="preserve"> y detección de eventos</w:t>
      </w:r>
    </w:p>
    <w:p w14:paraId="740EBEBF" w14:textId="20EB0383" w:rsidR="00DE3C30" w:rsidRDefault="00000000" w:rsidP="00EA3386">
      <w:pPr>
        <w:spacing w:after="120" w:line="360" w:lineRule="auto"/>
        <w:jc w:val="both"/>
      </w:pPr>
      <w:r>
        <w:t>Los datos fueron procesados con el pipeline PAC_v</w:t>
      </w:r>
      <w:r w:rsidR="00EA3386">
        <w:t>3</w:t>
      </w:r>
      <w:r>
        <w:t xml:space="preserve"> (P</w:t>
      </w:r>
      <w:r w:rsidR="00EA3386">
        <w:t>rograma</w:t>
      </w:r>
      <w:r>
        <w:t xml:space="preserve"> An</w:t>
      </w:r>
      <w:r w:rsidR="00EA3386">
        <w:t>á</w:t>
      </w:r>
      <w:r>
        <w:t>l</w:t>
      </w:r>
      <w:r w:rsidR="00EA3386">
        <w:t>i</w:t>
      </w:r>
      <w:r>
        <w:t>sis Continu</w:t>
      </w:r>
      <w:r w:rsidR="00EA3386">
        <w:t>o</w:t>
      </w:r>
      <w:r>
        <w:t>)</w:t>
      </w:r>
      <w:r w:rsidR="00EA3386">
        <w:t xml:space="preserve"> desarrollado </w:t>
      </w:r>
      <w:r w:rsidR="00EA3386" w:rsidRPr="00EA3386">
        <w:rPr>
          <w:i/>
          <w:iCs/>
        </w:rPr>
        <w:t>ad hoc</w:t>
      </w:r>
      <w:r>
        <w:t xml:space="preserve">, </w:t>
      </w:r>
      <w:r w:rsidR="00EA3386">
        <w:t xml:space="preserve">mediante un </w:t>
      </w:r>
      <w:r>
        <w:t>sistema modular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74B89447" w14:textId="77777777" w:rsidR="00DE3C30" w:rsidRDefault="00000000">
      <w:pPr>
        <w:pStyle w:val="Ttulo2"/>
        <w:spacing w:line="360" w:lineRule="auto"/>
      </w:pPr>
      <w:r>
        <w:t>2.3 Análisis morfológico y ARI</w:t>
      </w:r>
    </w:p>
    <w:p w14:paraId="681D6166" w14:textId="7A6B7AE1" w:rsidR="00DE3C30" w:rsidRDefault="00000000" w:rsidP="00EA3386">
      <w:pPr>
        <w:spacing w:after="120" w:line="360" w:lineRule="auto"/>
        <w:jc w:val="both"/>
      </w:pPr>
      <w:r>
        <w:t xml:space="preserve">El análisis morfológico se realizó en dos etapas sobre las 85.277 curvas normalizadas. Primero, se aplicó </w:t>
      </w:r>
      <w:r w:rsidR="00EA3386">
        <w:t>análisis de componentes principales (</w:t>
      </w:r>
      <w:r>
        <w:t>PCA</w:t>
      </w:r>
      <w:r w:rsidR="00EA3386">
        <w:t>)</w:t>
      </w:r>
      <w:r>
        <w:t xml:space="preserve"> para reducir cada curva de 30 puntos a un espacio de menor dimensión (tres componentes explicaron el 83.9% de la varianza total). Sobre ese espacio reducido se aplicó </w:t>
      </w:r>
      <w:r w:rsidR="00EA3386">
        <w:t>una técnica de cluestrización no supervisada (</w:t>
      </w:r>
      <w:r>
        <w:t>K-means</w:t>
      </w:r>
      <w:r w:rsidR="00EA3386">
        <w:t>)</w:t>
      </w:r>
      <w:r>
        <w:t>,</w:t>
      </w:r>
      <w:r w:rsidR="00EA3386" w:rsidRPr="00EA3386">
        <w:rPr>
          <w:vertAlign w:val="superscript"/>
        </w:rPr>
        <w:t>[</w:t>
      </w:r>
      <w:r w:rsidRPr="00EA3386">
        <w:rPr>
          <w:vertAlign w:val="superscript"/>
        </w:rPr>
        <w:t>11</w:t>
      </w:r>
      <w:r w:rsidR="00EA3386" w:rsidRPr="00EA3386">
        <w:rPr>
          <w:vertAlign w:val="superscript"/>
        </w:rPr>
        <w:t>]</w:t>
      </w:r>
      <w:r>
        <w:t xml:space="preserve"> seleccionando k=5 mediante el criterio del codo y la métrica de Silhouette, que evalúa la cohesión interna de cada grupo y su separación respecto a los demás.</w:t>
      </w:r>
    </w:p>
    <w:p w14:paraId="4A2E7EC4" w14:textId="77777777" w:rsidR="00DE3C30" w:rsidRDefault="00000000">
      <w:pPr>
        <w:spacing w:after="120" w:line="360" w:lineRule="auto"/>
      </w:pPr>
      <w:r>
        <w:t>El Índice de Respuesta Autonómica (ARI) se definió como:</w:t>
      </w:r>
    </w:p>
    <w:p w14:paraId="74C1F094" w14:textId="77777777" w:rsidR="00DE3C30" w:rsidRDefault="00000000">
      <w:pPr>
        <w:spacing w:before="120" w:after="120" w:line="360" w:lineRule="auto"/>
        <w:jc w:val="center"/>
      </w:pPr>
      <w:r>
        <w:rPr>
          <w:i/>
          <w:iCs/>
        </w:rPr>
        <w:t>ARI = 0.6 · Pct(ΔHR / ΔSpO₂) + 0.4 · Pct(ΔMov / ΔSpO₂)   (1)</w:t>
      </w:r>
    </w:p>
    <w:p w14:paraId="4F3753A1" w14:textId="31AC8A2F" w:rsidR="00DE3C30" w:rsidRDefault="00000000" w:rsidP="00EA3386">
      <w:pPr>
        <w:spacing w:after="120" w:line="360" w:lineRule="auto"/>
        <w:jc w:val="both"/>
      </w:pPr>
      <w:r>
        <w:t xml:space="preserve">donde Pct(·) es la transformación a percentiles dentro del corpus completo de eventos con </w:t>
      </w:r>
      <w:r w:rsidR="00EA3386">
        <w:rPr>
          <w:rStyle w:val="CdigoHTML"/>
        </w:rPr>
        <w:t>un</w:t>
      </w:r>
      <w:r w:rsidR="00EA3386">
        <w:t xml:space="preserve"> </w:t>
      </w:r>
      <w:r w:rsidR="00EA3386">
        <w:rPr>
          <w:rStyle w:val="Fuerte"/>
        </w:rPr>
        <w:t>porcentaje de caída</w:t>
      </w:r>
      <w:r w:rsidR="00EA3386">
        <w:t xml:space="preserve"> de la saturación de oxígeno en un evento (</w:t>
      </w:r>
      <w:r>
        <w:t>drop_pc</w:t>
      </w:r>
      <w:r w:rsidR="00EA3386">
        <w:t xml:space="preserve">) </w:t>
      </w:r>
      <w:r>
        <w:t>t&gt;0 (84.248 eventos), haciendo al índice adimensional y robusto a diferencias de escala entre variables. Los pesos 0.6/0.4 reflejan la mayor varianza del componente cardíaco.</w:t>
      </w:r>
    </w:p>
    <w:p w14:paraId="189016B1" w14:textId="77777777" w:rsidR="00DE3C30" w:rsidRDefault="00000000" w:rsidP="00EA3386">
      <w:pPr>
        <w:pStyle w:val="Ttulo2"/>
        <w:spacing w:line="360" w:lineRule="auto"/>
        <w:jc w:val="both"/>
      </w:pPr>
      <w:r>
        <w:t>2.4 Validación interna multi-noche</w:t>
      </w:r>
    </w:p>
    <w:p w14:paraId="6AC3378D" w14:textId="74051734" w:rsidR="00DE3C30" w:rsidRDefault="00000000" w:rsidP="00EA3386">
      <w:pPr>
        <w:spacing w:after="120" w:line="360" w:lineRule="auto"/>
        <w:jc w:val="both"/>
      </w:pPr>
      <w:r>
        <w:t xml:space="preserve">En ausencia de polisomnografía (PSG) como estándar externo, la validación se basó en consistencia interna y reproducibilidad longitudinal mediante tres métricas: (a) coeficiente de </w:t>
      </w:r>
      <w:r>
        <w:lastRenderedPageBreak/>
        <w:t>correlación intraclase de un factor sobre mediciones individuales [ICC(1,1)],</w:t>
      </w:r>
      <w:r w:rsidR="00EA3386" w:rsidRPr="00EA3386">
        <w:rPr>
          <w:vertAlign w:val="superscript"/>
        </w:rPr>
        <w:t>[</w:t>
      </w:r>
      <w:r w:rsidRPr="00EA3386">
        <w:rPr>
          <w:vertAlign w:val="superscript"/>
        </w:rPr>
        <w:t>12</w:t>
      </w:r>
      <w:r w:rsidR="00EA3386" w:rsidRPr="00EA3386">
        <w:rPr>
          <w:vertAlign w:val="superscript"/>
        </w:rPr>
        <w:t>]</w:t>
      </w:r>
      <w:r>
        <w:t xml:space="preserve"> que cuantifica la consistencia de la estimación entre distintas noches del mismo paciente; (b) análisis de concordancia de Bland–Altman,</w:t>
      </w:r>
      <w:r w:rsidR="00EA3386" w:rsidRPr="00EA3386">
        <w:rPr>
          <w:vertAlign w:val="superscript"/>
        </w:rPr>
        <w:t>[</w:t>
      </w:r>
      <w:r w:rsidRPr="00EA3386">
        <w:rPr>
          <w:vertAlign w:val="superscript"/>
        </w:rPr>
        <w:t>13</w:t>
      </w:r>
      <w:r w:rsidR="00EA3386" w:rsidRPr="00EA3386">
        <w:rPr>
          <w:vertAlign w:val="superscript"/>
        </w:rPr>
        <w:t>]</w:t>
      </w:r>
      <w:r>
        <w:t xml:space="preserve"> aplicado para comparar la estimación de una sola noche frente al promedio multi-noche; y (c) estabilización bootstrap del error absoluto medio (MAE) en función del número de noches acumuladas (300 iteraciones por paciente; n=7 pacientes con ≥14 noches válidas). La severidad nocturna se clasificó según el ODI3: Leve (&lt;5 ev/h), Moderado (5–15), Grave (15–30) y Muy grave (≥30).</w:t>
      </w:r>
    </w:p>
    <w:p w14:paraId="5E36FF5A" w14:textId="77777777" w:rsidR="00DE3C30" w:rsidRDefault="00000000">
      <w:pPr>
        <w:pStyle w:val="Ttulo1"/>
        <w:spacing w:line="360" w:lineRule="auto"/>
      </w:pPr>
      <w:r>
        <w:t>3. Resultados</w:t>
      </w:r>
    </w:p>
    <w:p w14:paraId="7EEF0572" w14:textId="77777777" w:rsidR="00DE3C30" w:rsidRDefault="00000000">
      <w:pPr>
        <w:pStyle w:val="Ttulo2"/>
        <w:spacing w:line="360" w:lineRule="auto"/>
      </w:pPr>
      <w:r>
        <w:t>3.1 Descripción de la cohorte</w:t>
      </w:r>
    </w:p>
    <w:p w14:paraId="32B0D9E1" w14:textId="77777777" w:rsidR="00DE3C30" w:rsidRDefault="00000000" w:rsidP="004300DD">
      <w:pPr>
        <w:spacing w:after="120" w:line="360" w:lineRule="auto"/>
        <w:jc w:val="both"/>
      </w:pPr>
      <w:r>
        <w:t>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14:paraId="45A36321" w14:textId="77777777" w:rsidR="00DE3C30" w:rsidRDefault="00DE3C30">
      <w:pPr>
        <w:spacing w:line="360" w:lineRule="auto"/>
      </w:pPr>
    </w:p>
    <w:p w14:paraId="281ED363" w14:textId="77777777" w:rsidR="00DE3C30" w:rsidRDefault="00000000">
      <w:pPr>
        <w:spacing w:after="80" w:line="360" w:lineRule="auto"/>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900"/>
        <w:gridCol w:w="900"/>
        <w:gridCol w:w="1100"/>
        <w:gridCol w:w="1000"/>
      </w:tblGrid>
      <w:tr w:rsidR="00DE3C30" w14:paraId="0DAC8D27"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1A0541B" w14:textId="77777777" w:rsidR="00DE3C30" w:rsidRDefault="00000000">
            <w:pPr>
              <w:spacing w:line="280" w:lineRule="auto"/>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EC7732A" w14:textId="77777777" w:rsidR="00DE3C30" w:rsidRDefault="00000000">
            <w:pPr>
              <w:spacing w:line="280" w:lineRule="auto"/>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499E68E" w14:textId="77777777" w:rsidR="00DE3C30" w:rsidRDefault="00000000">
            <w:pPr>
              <w:spacing w:line="280" w:lineRule="auto"/>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F2E9654" w14:textId="77777777" w:rsidR="00DE3C30" w:rsidRDefault="00000000">
            <w:pPr>
              <w:spacing w:line="280" w:lineRule="auto"/>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949C598" w14:textId="77777777" w:rsidR="00DE3C30" w:rsidRDefault="00000000">
            <w:pPr>
              <w:spacing w:line="280" w:lineRule="auto"/>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E2E3115" w14:textId="77777777" w:rsidR="00DE3C30" w:rsidRDefault="00000000">
            <w:pPr>
              <w:spacing w:line="280" w:lineRule="auto"/>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D1DDCCD" w14:textId="77777777" w:rsidR="00DE3C30" w:rsidRDefault="00000000">
            <w:pPr>
              <w:spacing w:line="280" w:lineRule="auto"/>
            </w:pPr>
            <w:r>
              <w:rPr>
                <w:b/>
                <w:bCs/>
                <w:sz w:val="22"/>
                <w:szCs w:val="22"/>
              </w:rPr>
              <w:t>Máx</w:t>
            </w:r>
          </w:p>
        </w:tc>
      </w:tr>
      <w:tr w:rsidR="00DE3C30" w14:paraId="03C370B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FBB21" w14:textId="77777777" w:rsidR="00DE3C30" w:rsidRDefault="00000000">
            <w:pPr>
              <w:spacing w:line="280" w:lineRule="auto"/>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AAB00B" w14:textId="77777777" w:rsidR="00DE3C30" w:rsidRDefault="00000000">
            <w:pPr>
              <w:spacing w:line="280" w:lineRule="auto"/>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303B4F" w14:textId="77777777" w:rsidR="00DE3C30" w:rsidRDefault="00000000">
            <w:pPr>
              <w:spacing w:line="280" w:lineRule="auto"/>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603112" w14:textId="77777777" w:rsidR="00DE3C30" w:rsidRDefault="00000000">
            <w:pPr>
              <w:spacing w:line="280" w:lineRule="auto"/>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47648A" w14:textId="77777777" w:rsidR="00DE3C30" w:rsidRDefault="00000000">
            <w:pPr>
              <w:spacing w:line="280" w:lineRule="auto"/>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E8FCA4" w14:textId="77777777" w:rsidR="00DE3C30" w:rsidRDefault="00000000">
            <w:pPr>
              <w:spacing w:line="280" w:lineRule="auto"/>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A30F8BE" w14:textId="77777777" w:rsidR="00DE3C30" w:rsidRDefault="00000000">
            <w:pPr>
              <w:spacing w:line="280" w:lineRule="auto"/>
            </w:pPr>
            <w:r>
              <w:rPr>
                <w:sz w:val="22"/>
                <w:szCs w:val="22"/>
              </w:rPr>
              <w:t>98.6</w:t>
            </w:r>
          </w:p>
        </w:tc>
      </w:tr>
      <w:tr w:rsidR="00DE3C30" w14:paraId="4CA4B8A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C7A7DE" w14:textId="77777777" w:rsidR="00DE3C30" w:rsidRDefault="00000000">
            <w:pPr>
              <w:spacing w:line="280" w:lineRule="auto"/>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7FE0DE" w14:textId="77777777" w:rsidR="00DE3C30" w:rsidRDefault="00000000">
            <w:pPr>
              <w:spacing w:line="280" w:lineRule="auto"/>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E269D0" w14:textId="77777777" w:rsidR="00DE3C30" w:rsidRDefault="00000000">
            <w:pPr>
              <w:spacing w:line="280" w:lineRule="auto"/>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01F6C6" w14:textId="77777777" w:rsidR="00DE3C30" w:rsidRDefault="00000000">
            <w:pPr>
              <w:spacing w:line="280" w:lineRule="auto"/>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64FC33" w14:textId="77777777" w:rsidR="00DE3C30" w:rsidRDefault="00000000">
            <w:pPr>
              <w:spacing w:line="280" w:lineRule="auto"/>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2BE413" w14:textId="77777777" w:rsidR="00DE3C30" w:rsidRDefault="00000000">
            <w:pPr>
              <w:spacing w:line="280" w:lineRule="auto"/>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D9ABE8" w14:textId="77777777" w:rsidR="00DE3C30" w:rsidRDefault="00000000">
            <w:pPr>
              <w:spacing w:line="280" w:lineRule="auto"/>
            </w:pPr>
            <w:r>
              <w:rPr>
                <w:sz w:val="22"/>
                <w:szCs w:val="22"/>
              </w:rPr>
              <w:t>91.5</w:t>
            </w:r>
          </w:p>
        </w:tc>
      </w:tr>
      <w:tr w:rsidR="00DE3C30" w14:paraId="6C39010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4BA7B1" w14:textId="77777777" w:rsidR="00DE3C30" w:rsidRDefault="00000000">
            <w:pPr>
              <w:spacing w:line="280" w:lineRule="auto"/>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6D1BC5" w14:textId="77777777" w:rsidR="00DE3C30" w:rsidRDefault="00000000">
            <w:pPr>
              <w:spacing w:line="280" w:lineRule="auto"/>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CF590B" w14:textId="77777777" w:rsidR="00DE3C30" w:rsidRDefault="00000000">
            <w:pPr>
              <w:spacing w:line="280" w:lineRule="auto"/>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97B3DF" w14:textId="77777777" w:rsidR="00DE3C30" w:rsidRDefault="00000000">
            <w:pPr>
              <w:spacing w:line="280" w:lineRule="auto"/>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DC2051" w14:textId="77777777" w:rsidR="00DE3C30" w:rsidRDefault="00000000">
            <w:pPr>
              <w:spacing w:line="280" w:lineRule="auto"/>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D0A702" w14:textId="77777777" w:rsidR="00DE3C30" w:rsidRDefault="00000000">
            <w:pPr>
              <w:spacing w:line="280" w:lineRule="auto"/>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A3BA8F" w14:textId="77777777" w:rsidR="00DE3C30" w:rsidRDefault="00000000">
            <w:pPr>
              <w:spacing w:line="280" w:lineRule="auto"/>
            </w:pPr>
            <w:r>
              <w:rPr>
                <w:sz w:val="22"/>
                <w:szCs w:val="22"/>
              </w:rPr>
              <w:t>88.0</w:t>
            </w:r>
          </w:p>
        </w:tc>
      </w:tr>
      <w:tr w:rsidR="00DE3C30" w14:paraId="00EE8A8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EA2849" w14:textId="77777777" w:rsidR="00DE3C30" w:rsidRDefault="00000000">
            <w:pPr>
              <w:spacing w:line="280" w:lineRule="auto"/>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86D2E" w14:textId="77777777" w:rsidR="00DE3C30" w:rsidRDefault="00000000">
            <w:pPr>
              <w:spacing w:line="280" w:lineRule="auto"/>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176CC" w14:textId="77777777" w:rsidR="00DE3C30" w:rsidRDefault="00000000">
            <w:pPr>
              <w:spacing w:line="280" w:lineRule="auto"/>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D737F6" w14:textId="77777777" w:rsidR="00DE3C30" w:rsidRDefault="00000000">
            <w:pPr>
              <w:spacing w:line="280" w:lineRule="auto"/>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8ADFFD" w14:textId="77777777" w:rsidR="00DE3C30" w:rsidRDefault="00000000">
            <w:pPr>
              <w:spacing w:line="280" w:lineRule="auto"/>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FBDE8" w14:textId="77777777" w:rsidR="00DE3C30" w:rsidRDefault="00000000">
            <w:pPr>
              <w:spacing w:line="280" w:lineRule="auto"/>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E554AF" w14:textId="77777777" w:rsidR="00DE3C30" w:rsidRDefault="00000000">
            <w:pPr>
              <w:spacing w:line="280" w:lineRule="auto"/>
            </w:pPr>
            <w:r>
              <w:rPr>
                <w:sz w:val="22"/>
                <w:szCs w:val="22"/>
              </w:rPr>
              <w:t>96.4</w:t>
            </w:r>
          </w:p>
        </w:tc>
      </w:tr>
      <w:tr w:rsidR="00DE3C30" w14:paraId="37D921D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45256C" w14:textId="77777777" w:rsidR="00DE3C30" w:rsidRDefault="00000000">
            <w:pPr>
              <w:spacing w:line="280" w:lineRule="auto"/>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B98BE9" w14:textId="77777777" w:rsidR="00DE3C30" w:rsidRDefault="00000000">
            <w:pPr>
              <w:spacing w:line="280" w:lineRule="auto"/>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392942" w14:textId="77777777" w:rsidR="00DE3C30" w:rsidRDefault="00000000">
            <w:pPr>
              <w:spacing w:line="280" w:lineRule="auto"/>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F0AAFD" w14:textId="77777777" w:rsidR="00DE3C30" w:rsidRDefault="00000000">
            <w:pPr>
              <w:spacing w:line="280" w:lineRule="auto"/>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DC4F81" w14:textId="77777777" w:rsidR="00DE3C30" w:rsidRDefault="00000000">
            <w:pPr>
              <w:spacing w:line="280" w:lineRule="auto"/>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E2C60F" w14:textId="77777777" w:rsidR="00DE3C30" w:rsidRDefault="00000000">
            <w:pPr>
              <w:spacing w:line="280" w:lineRule="auto"/>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D4EEC7" w14:textId="77777777" w:rsidR="00DE3C30" w:rsidRDefault="00000000">
            <w:pPr>
              <w:spacing w:line="280" w:lineRule="auto"/>
            </w:pPr>
            <w:r>
              <w:rPr>
                <w:sz w:val="22"/>
                <w:szCs w:val="22"/>
              </w:rPr>
              <w:t>100.8</w:t>
            </w:r>
          </w:p>
        </w:tc>
      </w:tr>
    </w:tbl>
    <w:p w14:paraId="1FF4D881" w14:textId="77777777" w:rsidR="00DE3C30" w:rsidRDefault="00000000">
      <w:pPr>
        <w:spacing w:before="60" w:after="180" w:line="300" w:lineRule="auto"/>
      </w:pPr>
      <w:r>
        <w:rPr>
          <w:i/>
          <w:iCs/>
          <w:sz w:val="22"/>
          <w:szCs w:val="22"/>
        </w:rPr>
        <w:t>ODI: índice de desaturación; T90: fracción de tiempo SpO₂&lt;90%; DE: desviación estándar; P50: mediana.</w:t>
      </w:r>
    </w:p>
    <w:p w14:paraId="0F228FB4" w14:textId="77777777" w:rsidR="00DE3C30" w:rsidRDefault="00000000">
      <w:pPr>
        <w:pStyle w:val="Ttulo2"/>
        <w:spacing w:line="360" w:lineRule="auto"/>
      </w:pPr>
      <w:r>
        <w:t>3.2 Estructura morfológica de los eventos</w:t>
      </w:r>
    </w:p>
    <w:p w14:paraId="3BEFA0C4" w14:textId="77777777" w:rsidR="00DE3C30" w:rsidRDefault="00000000" w:rsidP="00580ACB">
      <w:pPr>
        <w:spacing w:after="120" w:line="360" w:lineRule="auto"/>
        <w:jc w:val="both"/>
      </w:pPr>
      <w:r>
        <w:t>El PCA aplicado sobre las 85.277 curvas normalizadas mostró que tres componentes principales explican el 83.9% de la varianza total (CP1: 62.9%, CP2: 14.0%, CP3: 7.0%). CP1 captura la profundidad global de la desaturación; CP2 refleja la asimetría temporal entre la fase de caída y la de recuperación; CP3 se asocia a la posición temporal del nadir. La proyección de los eventos en el espacio PC1–PC2 confirma que los clusters identificados por K-means se corresponden con regiones coherentes del espacio de componentes (Figura 1).</w:t>
      </w:r>
    </w:p>
    <w:p w14:paraId="72F757C4" w14:textId="77777777" w:rsidR="00DE3C30" w:rsidRDefault="00000000">
      <w:pPr>
        <w:pStyle w:val="Ttulo2"/>
        <w:spacing w:line="360" w:lineRule="auto"/>
      </w:pPr>
      <w:r>
        <w:t>3.3 Fenotipos morfológicos C1–C5</w:t>
      </w:r>
    </w:p>
    <w:p w14:paraId="15EEEEDF" w14:textId="77777777" w:rsidR="00DE3C30" w:rsidRDefault="00000000" w:rsidP="00580ACB">
      <w:pPr>
        <w:spacing w:after="120" w:line="360" w:lineRule="auto"/>
        <w:jc w:val="both"/>
      </w:pPr>
      <w:r>
        <w:lastRenderedPageBreak/>
        <w:t xml:space="preserve">El </w:t>
      </w:r>
      <w:r w:rsidRPr="00580ACB">
        <w:rPr>
          <w:i/>
          <w:iCs/>
        </w:rPr>
        <w:t>K-means</w:t>
      </w:r>
      <w:r>
        <w:t xml:space="preserve">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0A4E8D73" w14:textId="77777777" w:rsidR="00DE3C30" w:rsidRDefault="00DE3C30">
      <w:pPr>
        <w:spacing w:line="360" w:lineRule="auto"/>
      </w:pPr>
    </w:p>
    <w:p w14:paraId="02951D3E" w14:textId="77777777" w:rsidR="00DE3C30" w:rsidRDefault="00000000">
      <w:pPr>
        <w:spacing w:after="80" w:line="360" w:lineRule="auto"/>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500"/>
        <w:gridCol w:w="1500"/>
        <w:gridCol w:w="2200"/>
        <w:gridCol w:w="900"/>
      </w:tblGrid>
      <w:tr w:rsidR="00DE3C30" w14:paraId="79FA8452"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D8F8A4C" w14:textId="77777777" w:rsidR="00DE3C30" w:rsidRDefault="00000000">
            <w:pPr>
              <w:spacing w:line="280" w:lineRule="auto"/>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B956FB" w14:textId="77777777" w:rsidR="00DE3C30" w:rsidRDefault="00000000">
            <w:pPr>
              <w:spacing w:line="280" w:lineRule="auto"/>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4AD611" w14:textId="77777777" w:rsidR="00DE3C30" w:rsidRDefault="00000000">
            <w:pPr>
              <w:spacing w:line="280" w:lineRule="auto"/>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5031FD2" w14:textId="77777777" w:rsidR="00DE3C30" w:rsidRDefault="00000000">
            <w:pPr>
              <w:spacing w:line="280" w:lineRule="auto"/>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3E8865E" w14:textId="77777777" w:rsidR="00DE3C30" w:rsidRDefault="00000000">
            <w:pPr>
              <w:spacing w:line="280" w:lineRule="auto"/>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779E24" w14:textId="77777777" w:rsidR="00DE3C30" w:rsidRDefault="00000000">
            <w:pPr>
              <w:spacing w:line="280" w:lineRule="auto"/>
            </w:pPr>
            <w:r>
              <w:rPr>
                <w:b/>
                <w:bCs/>
                <w:sz w:val="22"/>
                <w:szCs w:val="22"/>
              </w:rPr>
              <w:t>Cat.</w:t>
            </w:r>
          </w:p>
        </w:tc>
      </w:tr>
      <w:tr w:rsidR="00DE3C30" w14:paraId="09A7A70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AB3354D" w14:textId="77777777" w:rsidR="00DE3C30" w:rsidRDefault="00000000">
            <w:pPr>
              <w:spacing w:line="280" w:lineRule="auto"/>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109A05" w14:textId="77777777" w:rsidR="00DE3C30" w:rsidRDefault="00000000">
            <w:pPr>
              <w:spacing w:line="280" w:lineRule="auto"/>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F1A3DB" w14:textId="77777777" w:rsidR="00DE3C30" w:rsidRDefault="00000000">
            <w:pPr>
              <w:spacing w:line="280" w:lineRule="auto"/>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27F3EE" w14:textId="77777777" w:rsidR="00DE3C30" w:rsidRDefault="00000000">
            <w:pPr>
              <w:spacing w:line="280" w:lineRule="auto"/>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C5D678" w14:textId="77777777" w:rsidR="00DE3C30" w:rsidRDefault="00000000">
            <w:pPr>
              <w:spacing w:line="280" w:lineRule="auto"/>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C16761" w14:textId="77777777" w:rsidR="00DE3C30" w:rsidRDefault="00000000">
            <w:pPr>
              <w:spacing w:line="280" w:lineRule="auto"/>
            </w:pPr>
            <w:r>
              <w:rPr>
                <w:sz w:val="22"/>
                <w:szCs w:val="22"/>
              </w:rPr>
              <w:t>Bajo</w:t>
            </w:r>
          </w:p>
        </w:tc>
      </w:tr>
      <w:tr w:rsidR="00DE3C30" w14:paraId="6865541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C00A50" w14:textId="77777777" w:rsidR="00DE3C30" w:rsidRDefault="00000000">
            <w:pPr>
              <w:spacing w:line="280" w:lineRule="auto"/>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589D8C" w14:textId="77777777" w:rsidR="00DE3C30" w:rsidRDefault="00000000">
            <w:pPr>
              <w:spacing w:line="280" w:lineRule="auto"/>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3A0A85A" w14:textId="77777777" w:rsidR="00DE3C30" w:rsidRDefault="00000000">
            <w:pPr>
              <w:spacing w:line="280" w:lineRule="auto"/>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6749C8" w14:textId="77777777" w:rsidR="00DE3C30" w:rsidRDefault="00000000">
            <w:pPr>
              <w:spacing w:line="280" w:lineRule="auto"/>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864343" w14:textId="77777777" w:rsidR="00DE3C30" w:rsidRDefault="00000000">
            <w:pPr>
              <w:spacing w:line="280" w:lineRule="auto"/>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CF57B9" w14:textId="77777777" w:rsidR="00DE3C30" w:rsidRDefault="00000000">
            <w:pPr>
              <w:spacing w:line="280" w:lineRule="auto"/>
            </w:pPr>
            <w:r>
              <w:rPr>
                <w:sz w:val="22"/>
                <w:szCs w:val="22"/>
              </w:rPr>
              <w:t>Bajo</w:t>
            </w:r>
          </w:p>
        </w:tc>
      </w:tr>
      <w:tr w:rsidR="00DE3C30" w14:paraId="06EEDDB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589269" w14:textId="77777777" w:rsidR="00DE3C30" w:rsidRDefault="00000000">
            <w:pPr>
              <w:spacing w:line="280" w:lineRule="auto"/>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F5909F" w14:textId="77777777" w:rsidR="00DE3C30" w:rsidRDefault="00000000">
            <w:pPr>
              <w:spacing w:line="280" w:lineRule="auto"/>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BA12BA" w14:textId="77777777" w:rsidR="00DE3C30" w:rsidRDefault="00000000">
            <w:pPr>
              <w:spacing w:line="280" w:lineRule="auto"/>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6D6A39" w14:textId="77777777" w:rsidR="00DE3C30" w:rsidRDefault="00000000">
            <w:pPr>
              <w:spacing w:line="280" w:lineRule="auto"/>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90E1D3" w14:textId="14DB7FBE" w:rsidR="00DE3C30" w:rsidRDefault="00000000">
            <w:pPr>
              <w:spacing w:line="280" w:lineRule="auto"/>
            </w:pPr>
            <w:r>
              <w:rPr>
                <w:sz w:val="22"/>
                <w:szCs w:val="22"/>
              </w:rPr>
              <w:t xml:space="preserve">Profundo simétrico (nadir </w:t>
            </w:r>
            <w:r w:rsidR="00580ACB">
              <w:rPr>
                <w:sz w:val="22"/>
                <w:szCs w:val="22"/>
              </w:rPr>
              <w:t>25</w:t>
            </w:r>
            <w:r>
              <w:rPr>
                <w:sz w:val="22"/>
                <w:szCs w:val="22"/>
              </w:rPr>
              <w:t>%)</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3442AF" w14:textId="77777777" w:rsidR="00DE3C30" w:rsidRDefault="00000000">
            <w:pPr>
              <w:spacing w:line="280" w:lineRule="auto"/>
            </w:pPr>
            <w:r>
              <w:rPr>
                <w:sz w:val="22"/>
                <w:szCs w:val="22"/>
              </w:rPr>
              <w:t>Alto</w:t>
            </w:r>
          </w:p>
        </w:tc>
      </w:tr>
      <w:tr w:rsidR="00DE3C30" w14:paraId="62721BD1"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BB5F91" w14:textId="77777777" w:rsidR="00DE3C30" w:rsidRDefault="00000000">
            <w:pPr>
              <w:spacing w:line="280" w:lineRule="auto"/>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4DF1BD" w14:textId="77777777" w:rsidR="00DE3C30" w:rsidRDefault="00000000">
            <w:pPr>
              <w:spacing w:line="280" w:lineRule="auto"/>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03FD9D5" w14:textId="77777777" w:rsidR="00DE3C30" w:rsidRDefault="00000000">
            <w:pPr>
              <w:spacing w:line="280" w:lineRule="auto"/>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948D54" w14:textId="77777777" w:rsidR="00DE3C30" w:rsidRDefault="00000000">
            <w:pPr>
              <w:spacing w:line="280" w:lineRule="auto"/>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FEBE42" w14:textId="77777777" w:rsidR="00DE3C30" w:rsidRDefault="00000000">
            <w:pPr>
              <w:spacing w:line="280" w:lineRule="auto"/>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D5D5A5" w14:textId="77777777" w:rsidR="00DE3C30" w:rsidRDefault="00000000">
            <w:pPr>
              <w:spacing w:line="280" w:lineRule="auto"/>
            </w:pPr>
            <w:r>
              <w:rPr>
                <w:sz w:val="22"/>
                <w:szCs w:val="22"/>
              </w:rPr>
              <w:t>Alto</w:t>
            </w:r>
          </w:p>
        </w:tc>
      </w:tr>
      <w:tr w:rsidR="00DE3C30" w14:paraId="46B9E6C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A20AF3" w14:textId="77777777" w:rsidR="00DE3C30" w:rsidRDefault="00000000">
            <w:pPr>
              <w:spacing w:line="280" w:lineRule="auto"/>
            </w:pPr>
            <w:r>
              <w:rPr>
                <w:sz w:val="22"/>
                <w:szCs w:val="22"/>
              </w:rPr>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8AE6F1" w14:textId="77777777" w:rsidR="00DE3C30" w:rsidRDefault="00000000">
            <w:pPr>
              <w:spacing w:line="280" w:lineRule="auto"/>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CA7D26" w14:textId="77777777" w:rsidR="00DE3C30" w:rsidRDefault="00000000">
            <w:pPr>
              <w:spacing w:line="280" w:lineRule="auto"/>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32FED3B" w14:textId="77777777" w:rsidR="00DE3C30" w:rsidRDefault="00000000">
            <w:pPr>
              <w:spacing w:line="280" w:lineRule="auto"/>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0AC9C6B" w14:textId="77777777" w:rsidR="00DE3C30" w:rsidRDefault="00000000">
            <w:pPr>
              <w:spacing w:line="280" w:lineRule="auto"/>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F9803F" w14:textId="77777777" w:rsidR="00DE3C30" w:rsidRDefault="00000000">
            <w:pPr>
              <w:spacing w:line="280" w:lineRule="auto"/>
            </w:pPr>
            <w:r>
              <w:rPr>
                <w:sz w:val="22"/>
                <w:szCs w:val="22"/>
              </w:rPr>
              <w:t>Alto</w:t>
            </w:r>
          </w:p>
        </w:tc>
      </w:tr>
    </w:tbl>
    <w:p w14:paraId="64D622DF" w14:textId="77777777" w:rsidR="00DE3C30" w:rsidRDefault="00000000">
      <w:pPr>
        <w:spacing w:before="60" w:after="180" w:line="300" w:lineRule="auto"/>
      </w:pPr>
      <w:r>
        <w:rPr>
          <w:i/>
          <w:iCs/>
          <w:sz w:val="22"/>
          <w:szCs w:val="22"/>
        </w:rPr>
        <w:t>ICC(1,1): coeficiente de correlación intraclase inter-noche; pp: puntos porcentuales.</w:t>
      </w:r>
    </w:p>
    <w:p w14:paraId="0604BE06" w14:textId="46C1543E" w:rsidR="00DE3C30" w:rsidRDefault="00000000" w:rsidP="00580ACB">
      <w:pPr>
        <w:spacing w:after="120" w:line="360" w:lineRule="auto"/>
        <w:jc w:val="both"/>
      </w:pPr>
      <w:r>
        <w:t xml:space="preserve">La distribución de eventos es marcadamente asimétrica: C1 y C2 concentran el 89.7% de los casos. C3 presenta un nadir temprano al </w:t>
      </w:r>
      <w:r w:rsidR="00580ACB">
        <w:t>25</w:t>
      </w:r>
      <w:r>
        <w:t>%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7EFAAD10" w14:textId="77777777" w:rsidR="00DE3C30" w:rsidRDefault="00000000" w:rsidP="00580ACB">
      <w:pPr>
        <w:pStyle w:val="Ttulo2"/>
        <w:spacing w:line="360" w:lineRule="auto"/>
        <w:jc w:val="both"/>
      </w:pPr>
      <w:r>
        <w:t>3.4 ARI como dimensión fisiológica ortogonal</w:t>
      </w:r>
    </w:p>
    <w:p w14:paraId="71CE4A8D" w14:textId="1A4A64E9" w:rsidR="00DE3C30" w:rsidRDefault="00000000" w:rsidP="00580ACB">
      <w:pPr>
        <w:spacing w:after="120" w:line="360" w:lineRule="auto"/>
      </w:pPr>
      <w:r>
        <w:t xml:space="preserve">La correlación de Spearman entre ARI y profundidad de desaturación fue ρ=0.034 (p&lt;10⁻²³). </w:t>
      </w:r>
      <w:r w:rsidR="00580ACB">
        <w:t xml:space="preserve">La significancia estadística del test pierde relevancia al constatar que el valor de ronda el 0. </w:t>
      </w:r>
      <w:r>
        <w:t>El área bajo la curva (AUC) para discriminar eventos severos (C4+C5) de no severos (C1–C3) en base al ARI fue 0.453, equivalente al azar (Figura 4). La mediana del ARI por cluster varía entre 0.44 y 0.52 sin tendencia monótona con la severidad (Figura 5), confirmando que ARI y severidad hipóxica son dimensiones independientes.</w:t>
      </w:r>
    </w:p>
    <w:p w14:paraId="120EFA49" w14:textId="77777777" w:rsidR="00DE3C30" w:rsidRDefault="00000000">
      <w:pPr>
        <w:pStyle w:val="Ttulo2"/>
        <w:spacing w:line="360" w:lineRule="auto"/>
      </w:pPr>
      <w:r>
        <w:t>3.5 Perfiles fisiológicos multimodales</w:t>
      </w:r>
    </w:p>
    <w:p w14:paraId="63A48E1F" w14:textId="77777777" w:rsidR="00DE3C30" w:rsidRDefault="00000000" w:rsidP="00580ACB">
      <w:pPr>
        <w:spacing w:after="120" w:line="360" w:lineRule="auto"/>
        <w:jc w:val="both"/>
      </w:pPr>
      <w:r>
        <w:t xml:space="preserve">La ganancia de FC (ΔHR/ΔSpO₂) fue decreciente con la severidad del cluster: C1=0.63, C2=0.53, C3=0.21, C4=0.31, C5=0.04 lpm/pp. C5 exhibe prácticamente respuesta nula </w:t>
      </w:r>
      <w:r>
        <w:lastRenderedPageBreak/>
        <w:t>(silencio autonómico) a pesar de nadires de −15.3 pp. La Tabla 3 resume los valores de ARI y ganancia de FC por morfotipo.</w:t>
      </w:r>
    </w:p>
    <w:p w14:paraId="3AED1FAB" w14:textId="77777777" w:rsidR="00DE3C30" w:rsidRDefault="00DE3C30">
      <w:pPr>
        <w:spacing w:line="360" w:lineRule="auto"/>
      </w:pPr>
    </w:p>
    <w:p w14:paraId="35E4A5E2" w14:textId="77777777" w:rsidR="00DE3C30" w:rsidRDefault="00000000">
      <w:pPr>
        <w:spacing w:after="80" w:line="360" w:lineRule="auto"/>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400"/>
        <w:gridCol w:w="1600"/>
        <w:gridCol w:w="3200"/>
      </w:tblGrid>
      <w:tr w:rsidR="00DE3C30" w14:paraId="67882CB2"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FBCA2E0" w14:textId="77777777" w:rsidR="00DE3C30" w:rsidRDefault="00000000">
            <w:pPr>
              <w:spacing w:line="280" w:lineRule="auto"/>
            </w:pPr>
            <w:r>
              <w:rPr>
                <w:b/>
                <w:bCs/>
                <w:sz w:val="22"/>
                <w:szCs w:val="22"/>
              </w:rPr>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2C121B3" w14:textId="77777777" w:rsidR="00DE3C30" w:rsidRDefault="00000000">
            <w:pPr>
              <w:spacing w:line="280" w:lineRule="auto"/>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6369DF3" w14:textId="77777777" w:rsidR="00DE3C30" w:rsidRDefault="00000000">
            <w:pPr>
              <w:spacing w:line="280" w:lineRule="auto"/>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8566FE2" w14:textId="77777777" w:rsidR="00DE3C30" w:rsidRDefault="00000000">
            <w:pPr>
              <w:spacing w:line="280" w:lineRule="auto"/>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70F0D91" w14:textId="77777777" w:rsidR="00DE3C30" w:rsidRDefault="00000000">
            <w:pPr>
              <w:spacing w:line="280" w:lineRule="auto"/>
            </w:pPr>
            <w:r>
              <w:rPr>
                <w:b/>
                <w:bCs/>
                <w:sz w:val="22"/>
                <w:szCs w:val="22"/>
              </w:rPr>
              <w:t>Interpretación autonómica</w:t>
            </w:r>
          </w:p>
        </w:tc>
      </w:tr>
      <w:tr w:rsidR="00DE3C30" w14:paraId="58C3D094"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278B44" w14:textId="77777777" w:rsidR="00DE3C30" w:rsidRDefault="00000000">
            <w:pPr>
              <w:spacing w:line="280" w:lineRule="auto"/>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16B167" w14:textId="77777777" w:rsidR="00DE3C30" w:rsidRDefault="00000000">
            <w:pPr>
              <w:spacing w:line="280" w:lineRule="auto"/>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0A671" w14:textId="77777777" w:rsidR="00DE3C30" w:rsidRDefault="00000000">
            <w:pPr>
              <w:spacing w:line="280" w:lineRule="auto"/>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1E17C9" w14:textId="77777777" w:rsidR="00DE3C30" w:rsidRDefault="00000000">
            <w:pPr>
              <w:spacing w:line="280" w:lineRule="auto"/>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8378F3" w14:textId="77777777" w:rsidR="00DE3C30" w:rsidRDefault="00000000">
            <w:pPr>
              <w:spacing w:line="280" w:lineRule="auto"/>
            </w:pPr>
            <w:r>
              <w:rPr>
                <w:sz w:val="22"/>
                <w:szCs w:val="22"/>
              </w:rPr>
              <w:t>Respuesta proporcional normal</w:t>
            </w:r>
          </w:p>
        </w:tc>
      </w:tr>
      <w:tr w:rsidR="00DE3C30" w14:paraId="36329F98"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25907C" w14:textId="77777777" w:rsidR="00DE3C30" w:rsidRDefault="00000000">
            <w:pPr>
              <w:spacing w:line="280" w:lineRule="auto"/>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24D345" w14:textId="77777777" w:rsidR="00DE3C30" w:rsidRDefault="00000000">
            <w:pPr>
              <w:spacing w:line="280" w:lineRule="auto"/>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C9B908" w14:textId="77777777" w:rsidR="00DE3C30" w:rsidRDefault="00000000">
            <w:pPr>
              <w:spacing w:line="280" w:lineRule="auto"/>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CC663C" w14:textId="77777777" w:rsidR="00DE3C30" w:rsidRDefault="00000000">
            <w:pPr>
              <w:spacing w:line="280" w:lineRule="auto"/>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7AEF13" w14:textId="77777777" w:rsidR="00DE3C30" w:rsidRDefault="00000000">
            <w:pPr>
              <w:spacing w:line="280" w:lineRule="auto"/>
            </w:pPr>
            <w:r>
              <w:rPr>
                <w:sz w:val="22"/>
                <w:szCs w:val="22"/>
              </w:rPr>
              <w:t>Respuesta activa, levemente elevada</w:t>
            </w:r>
          </w:p>
        </w:tc>
      </w:tr>
      <w:tr w:rsidR="00DE3C30" w14:paraId="46196D1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214F14" w14:textId="77777777" w:rsidR="00DE3C30" w:rsidRDefault="00000000">
            <w:pPr>
              <w:spacing w:line="280" w:lineRule="auto"/>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E38955" w14:textId="77777777" w:rsidR="00DE3C30" w:rsidRDefault="00000000">
            <w:pPr>
              <w:spacing w:line="280" w:lineRule="auto"/>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185E43" w14:textId="77777777" w:rsidR="00DE3C30" w:rsidRDefault="00000000">
            <w:pPr>
              <w:spacing w:line="280" w:lineRule="auto"/>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E52F1F" w14:textId="77777777" w:rsidR="00DE3C30" w:rsidRDefault="00000000">
            <w:pPr>
              <w:spacing w:line="280" w:lineRule="auto"/>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B4D78A0" w14:textId="77777777" w:rsidR="00DE3C30" w:rsidRDefault="00000000">
            <w:pPr>
              <w:spacing w:line="280" w:lineRule="auto"/>
            </w:pPr>
            <w:r>
              <w:rPr>
                <w:sz w:val="22"/>
                <w:szCs w:val="22"/>
              </w:rPr>
              <w:t>Respuesta atenuada</w:t>
            </w:r>
          </w:p>
        </w:tc>
      </w:tr>
      <w:tr w:rsidR="00DE3C30" w14:paraId="3BD7EF93"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7AD276" w14:textId="77777777" w:rsidR="00DE3C30" w:rsidRDefault="00000000">
            <w:pPr>
              <w:spacing w:line="280" w:lineRule="auto"/>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E8E12A" w14:textId="77777777" w:rsidR="00DE3C30" w:rsidRDefault="00000000">
            <w:pPr>
              <w:spacing w:line="280" w:lineRule="auto"/>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130277" w14:textId="77777777" w:rsidR="00DE3C30" w:rsidRDefault="00000000">
            <w:pPr>
              <w:spacing w:line="280" w:lineRule="auto"/>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5272F6" w14:textId="77777777" w:rsidR="00DE3C30" w:rsidRDefault="00000000">
            <w:pPr>
              <w:spacing w:line="280" w:lineRule="auto"/>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111824" w14:textId="77777777" w:rsidR="00DE3C30" w:rsidRDefault="00000000">
            <w:pPr>
              <w:spacing w:line="280" w:lineRule="auto"/>
            </w:pPr>
            <w:r>
              <w:rPr>
                <w:sz w:val="22"/>
                <w:szCs w:val="22"/>
              </w:rPr>
              <w:t>Respuesta reducida</w:t>
            </w:r>
          </w:p>
        </w:tc>
      </w:tr>
      <w:tr w:rsidR="00DE3C30" w14:paraId="6AB165E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0EB3B7" w14:textId="77777777" w:rsidR="00DE3C30" w:rsidRDefault="00000000">
            <w:pPr>
              <w:spacing w:line="280" w:lineRule="auto"/>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D116119" w14:textId="77777777" w:rsidR="00DE3C30" w:rsidRDefault="00000000">
            <w:pPr>
              <w:spacing w:line="280" w:lineRule="auto"/>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C6F251" w14:textId="77777777" w:rsidR="00DE3C30" w:rsidRDefault="00000000">
            <w:pPr>
              <w:spacing w:line="280" w:lineRule="auto"/>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4AFF65" w14:textId="77777777" w:rsidR="00DE3C30" w:rsidRDefault="00000000">
            <w:pPr>
              <w:spacing w:line="280" w:lineRule="auto"/>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3483CF" w14:textId="77777777" w:rsidR="00DE3C30" w:rsidRDefault="00000000">
            <w:pPr>
              <w:spacing w:line="280" w:lineRule="auto"/>
            </w:pPr>
            <w:r>
              <w:rPr>
                <w:sz w:val="22"/>
                <w:szCs w:val="22"/>
              </w:rPr>
              <w:t>Silencio autonómico</w:t>
            </w:r>
          </w:p>
        </w:tc>
      </w:tr>
    </w:tbl>
    <w:p w14:paraId="32A02B1C" w14:textId="77777777" w:rsidR="00DE3C30" w:rsidRDefault="00000000">
      <w:pPr>
        <w:spacing w:before="60" w:after="180" w:line="300" w:lineRule="auto"/>
      </w:pPr>
      <w:r>
        <w:rPr>
          <w:i/>
          <w:iCs/>
          <w:sz w:val="22"/>
          <w:szCs w:val="22"/>
        </w:rPr>
        <w:t>ARI: Índice de Respuesta Autonómica (0–1). Ganancia FC: ΔHR/ΔSpO₂ (lpm/pp).</w:t>
      </w:r>
    </w:p>
    <w:p w14:paraId="45A2AE3C" w14:textId="77777777" w:rsidR="00DE3C30" w:rsidRDefault="00000000">
      <w:pPr>
        <w:pStyle w:val="Ttulo2"/>
        <w:spacing w:line="360" w:lineRule="auto"/>
      </w:pPr>
      <w:r>
        <w:t>3.6 Validación clínica del ARI: análisis intra-estrato</w:t>
      </w:r>
    </w:p>
    <w:p w14:paraId="0D02FE34" w14:textId="77777777" w:rsidR="00DE3C30" w:rsidRDefault="00000000" w:rsidP="00580ACB">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w:t>
      </w:r>
    </w:p>
    <w:p w14:paraId="46DED287" w14:textId="77777777" w:rsidR="00DE3C30" w:rsidRDefault="00000000">
      <w:pPr>
        <w:pStyle w:val="Ttulo2"/>
        <w:spacing w:line="360" w:lineRule="auto"/>
      </w:pPr>
      <w:r>
        <w:t>3.7 Relación con la severidad nocturna</w:t>
      </w:r>
    </w:p>
    <w:p w14:paraId="6D3F6360" w14:textId="77777777" w:rsidR="00DE3C30" w:rsidRDefault="00000000" w:rsidP="00580ACB">
      <w:pPr>
        <w:spacing w:after="120" w:line="360" w:lineRule="auto"/>
        <w:jc w:val="both"/>
      </w:pPr>
      <w:r>
        <w:t>La correlación de Spearman entre el ARI nocturno y el ODI3 fue ρ=−0.245 (p&lt;10⁻⁹), estadísticamente significativa pero de magnitud modesta (el ODI3 explica menos del 7% de la varianza del ARI). La Tabla 4 desglosa las métricas morfológicas y autonómicas por estrato de severidad. El ARI medio muestra una variación interestrato mínima (0.519 en Leve vs. 0.486 en Muy grave) a lo largo de un rango de ODI3 que se multiplica por once (3.8 a 40.9 ev/h), ilustrando empíricamente la ortogonalidad del índice.</w:t>
      </w:r>
    </w:p>
    <w:p w14:paraId="33D44E04" w14:textId="77777777" w:rsidR="00DE3C30" w:rsidRDefault="00DE3C30">
      <w:pPr>
        <w:spacing w:line="360" w:lineRule="auto"/>
      </w:pPr>
    </w:p>
    <w:p w14:paraId="72C1B7C2" w14:textId="77777777" w:rsidR="00DE3C30" w:rsidRDefault="00000000">
      <w:pPr>
        <w:spacing w:after="80" w:line="360" w:lineRule="auto"/>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600"/>
      </w:tblGrid>
      <w:tr w:rsidR="00DE3C30" w14:paraId="2B4BFC6E"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0CB3722F" w14:textId="77777777" w:rsidR="00DE3C30" w:rsidRDefault="00000000">
            <w:pPr>
              <w:spacing w:line="280" w:lineRule="auto"/>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B302D58" w14:textId="77777777" w:rsidR="00DE3C30" w:rsidRDefault="00000000">
            <w:pPr>
              <w:spacing w:line="280" w:lineRule="auto"/>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248729E" w14:textId="77777777" w:rsidR="00DE3C30" w:rsidRDefault="00000000">
            <w:pPr>
              <w:spacing w:line="280" w:lineRule="auto"/>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061F596" w14:textId="77777777" w:rsidR="00DE3C30" w:rsidRDefault="00000000">
            <w:pPr>
              <w:spacing w:line="280" w:lineRule="auto"/>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173B55" w14:textId="77777777" w:rsidR="00DE3C30" w:rsidRDefault="00000000">
            <w:pPr>
              <w:spacing w:line="280" w:lineRule="auto"/>
            </w:pPr>
            <w:r>
              <w:rPr>
                <w:b/>
                <w:bCs/>
                <w:sz w:val="22"/>
                <w:szCs w:val="22"/>
              </w:rPr>
              <w:t>Muy grave (n=54)</w:t>
            </w:r>
          </w:p>
        </w:tc>
      </w:tr>
      <w:tr w:rsidR="00DE3C30" w14:paraId="2570041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1FC58E" w14:textId="77777777" w:rsidR="00DE3C30" w:rsidRDefault="00000000">
            <w:pPr>
              <w:spacing w:line="280" w:lineRule="auto"/>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EA97E6" w14:textId="77777777" w:rsidR="00DE3C30" w:rsidRDefault="00000000">
            <w:pPr>
              <w:spacing w:line="280" w:lineRule="auto"/>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D23F0D" w14:textId="77777777" w:rsidR="00DE3C30" w:rsidRDefault="00000000">
            <w:pPr>
              <w:spacing w:line="280" w:lineRule="auto"/>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C9B02A" w14:textId="77777777" w:rsidR="00DE3C30" w:rsidRDefault="00000000">
            <w:pPr>
              <w:spacing w:line="280" w:lineRule="auto"/>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77F7F3" w14:textId="77777777" w:rsidR="00DE3C30" w:rsidRDefault="00000000">
            <w:pPr>
              <w:spacing w:line="280" w:lineRule="auto"/>
            </w:pPr>
            <w:r>
              <w:rPr>
                <w:sz w:val="22"/>
                <w:szCs w:val="22"/>
              </w:rPr>
              <w:t>40.9</w:t>
            </w:r>
          </w:p>
        </w:tc>
      </w:tr>
      <w:tr w:rsidR="00DE3C30" w14:paraId="00FADC6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558AB09" w14:textId="77777777" w:rsidR="00DE3C30" w:rsidRDefault="00000000">
            <w:pPr>
              <w:spacing w:line="280" w:lineRule="auto"/>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A64E36" w14:textId="77777777" w:rsidR="00DE3C30" w:rsidRDefault="00000000">
            <w:pPr>
              <w:spacing w:line="280" w:lineRule="auto"/>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135492" w14:textId="77777777" w:rsidR="00DE3C30" w:rsidRDefault="00000000">
            <w:pPr>
              <w:spacing w:line="280" w:lineRule="auto"/>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A02E8B" w14:textId="77777777" w:rsidR="00DE3C30" w:rsidRDefault="00000000">
            <w:pPr>
              <w:spacing w:line="280" w:lineRule="auto"/>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266B9A" w14:textId="77777777" w:rsidR="00DE3C30" w:rsidRDefault="00000000">
            <w:pPr>
              <w:spacing w:line="280" w:lineRule="auto"/>
            </w:pPr>
            <w:r>
              <w:rPr>
                <w:sz w:val="22"/>
                <w:szCs w:val="22"/>
              </w:rPr>
              <w:t>12.3</w:t>
            </w:r>
          </w:p>
        </w:tc>
      </w:tr>
      <w:tr w:rsidR="00DE3C30" w14:paraId="1EA5D20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E4F1DE" w14:textId="77777777" w:rsidR="00DE3C30" w:rsidRDefault="00000000">
            <w:pPr>
              <w:spacing w:line="280" w:lineRule="auto"/>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41FA4D3" w14:textId="77777777" w:rsidR="00DE3C30" w:rsidRDefault="00000000">
            <w:pPr>
              <w:spacing w:line="280" w:lineRule="auto"/>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02E319" w14:textId="77777777" w:rsidR="00DE3C30" w:rsidRDefault="00000000">
            <w:pPr>
              <w:spacing w:line="280" w:lineRule="auto"/>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CEE6E7" w14:textId="77777777" w:rsidR="00DE3C30" w:rsidRDefault="00000000">
            <w:pPr>
              <w:spacing w:line="280" w:lineRule="auto"/>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7CD937" w14:textId="77777777" w:rsidR="00DE3C30" w:rsidRDefault="00000000">
            <w:pPr>
              <w:spacing w:line="280" w:lineRule="auto"/>
            </w:pPr>
            <w:r>
              <w:rPr>
                <w:sz w:val="22"/>
                <w:szCs w:val="22"/>
              </w:rPr>
              <w:t>43.4%</w:t>
            </w:r>
          </w:p>
        </w:tc>
      </w:tr>
      <w:tr w:rsidR="00DE3C30" w14:paraId="3BB799A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A776432" w14:textId="77777777" w:rsidR="00DE3C30" w:rsidRDefault="00000000">
            <w:pPr>
              <w:spacing w:line="280" w:lineRule="auto"/>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4BA7D9" w14:textId="77777777" w:rsidR="00DE3C30" w:rsidRDefault="00000000">
            <w:pPr>
              <w:spacing w:line="280" w:lineRule="auto"/>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72EB40" w14:textId="77777777" w:rsidR="00DE3C30" w:rsidRDefault="00000000">
            <w:pPr>
              <w:spacing w:line="280" w:lineRule="auto"/>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B7D1A9" w14:textId="77777777" w:rsidR="00DE3C30" w:rsidRDefault="00000000">
            <w:pPr>
              <w:spacing w:line="280" w:lineRule="auto"/>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F3314F" w14:textId="77777777" w:rsidR="00DE3C30" w:rsidRDefault="00000000">
            <w:pPr>
              <w:spacing w:line="280" w:lineRule="auto"/>
            </w:pPr>
            <w:r>
              <w:rPr>
                <w:sz w:val="22"/>
                <w:szCs w:val="22"/>
              </w:rPr>
              <w:t>9.7%</w:t>
            </w:r>
          </w:p>
        </w:tc>
      </w:tr>
      <w:tr w:rsidR="00DE3C30" w14:paraId="12D5E4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8DD850" w14:textId="77777777" w:rsidR="00DE3C30" w:rsidRDefault="00000000">
            <w:pPr>
              <w:spacing w:line="280" w:lineRule="auto"/>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B01D3A" w14:textId="77777777" w:rsidR="00DE3C30" w:rsidRDefault="00000000">
            <w:pPr>
              <w:spacing w:line="280" w:lineRule="auto"/>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5DFB56" w14:textId="77777777" w:rsidR="00DE3C30" w:rsidRDefault="00000000">
            <w:pPr>
              <w:spacing w:line="280" w:lineRule="auto"/>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7FCDBC" w14:textId="77777777" w:rsidR="00DE3C30" w:rsidRDefault="00000000">
            <w:pPr>
              <w:spacing w:line="280" w:lineRule="auto"/>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20487AD" w14:textId="77777777" w:rsidR="00DE3C30" w:rsidRDefault="00000000">
            <w:pPr>
              <w:spacing w:line="280" w:lineRule="auto"/>
            </w:pPr>
            <w:r>
              <w:rPr>
                <w:sz w:val="22"/>
                <w:szCs w:val="22"/>
              </w:rPr>
              <w:t>0.486</w:t>
            </w:r>
          </w:p>
        </w:tc>
      </w:tr>
    </w:tbl>
    <w:p w14:paraId="32B15DE4" w14:textId="77777777" w:rsidR="00DE3C30" w:rsidRDefault="00000000">
      <w:pPr>
        <w:spacing w:before="60" w:after="180" w:line="300" w:lineRule="auto"/>
      </w:pPr>
      <w:r>
        <w:rPr>
          <w:i/>
          <w:iCs/>
          <w:sz w:val="22"/>
          <w:szCs w:val="22"/>
        </w:rPr>
        <w:t>Leve: ODI3&lt;5 ev/h; Moderado: 5–15; Grave: 15–30; Muy grave: ≥30.</w:t>
      </w:r>
    </w:p>
    <w:p w14:paraId="596BC666" w14:textId="77777777" w:rsidR="00DE3C30" w:rsidRDefault="00000000">
      <w:pPr>
        <w:pStyle w:val="Ttulo2"/>
        <w:spacing w:line="360" w:lineRule="auto"/>
      </w:pPr>
      <w:r>
        <w:t>3.8 Validación interna y estabilidad multi-noche</w:t>
      </w:r>
    </w:p>
    <w:p w14:paraId="16A71757" w14:textId="48F8DF57" w:rsidR="00DE3C30" w:rsidRDefault="00000000" w:rsidP="00580ACB">
      <w:pPr>
        <w:spacing w:after="120" w:line="360" w:lineRule="auto"/>
        <w:jc w:val="both"/>
      </w:pPr>
      <w:r>
        <w:t>Para el ODI3, el ICC</w:t>
      </w:r>
      <w:r w:rsidR="00580ACB">
        <w:t>(</w:t>
      </w:r>
      <w:r>
        <w:t>1,1</w:t>
      </w:r>
      <w:r w:rsidR="00580ACB">
        <w:t>)</w:t>
      </w:r>
      <w:r>
        <w:t xml:space="preserve"> fue de 0.70 para una sola noche, escalando hasta 0.99 al promediar 14 noches (Figura 7B). La simulación bootstrap mostró reducción progresiva del MAE: de 5.3 ev/h (una noche) a 1.5 ev/h (14 noches), cruzando el umbral clínico de 2 ev/h a partir de la quinta noche (Figura 7A). La concordancia categórica en la clasificación de severidad alcanza el 100% a partir de 3 noches.</w:t>
      </w:r>
    </w:p>
    <w:p w14:paraId="233727BE" w14:textId="77777777" w:rsidR="00DE3C30" w:rsidRDefault="00000000" w:rsidP="00580ACB">
      <w:pPr>
        <w:spacing w:after="120" w:line="360" w:lineRule="auto"/>
        <w:jc w:val="both"/>
      </w:pPr>
      <w:r>
        <w:t>Para el ARI, la simulación bootstrap mostró estabilización más rápida: el MAE parte de 0.036 unidades con una sola noche, ya por debajo del umbral operacional de 0.05, y se estabiliza en ~0.006 unidades a partir de la novena noche (Figura 8A). El análisis de Bland–Altman confirmó ausencia de sesgo sistemático entre la estimación de 1 noche y la media multi-noche (sesgo=+0.002), con límites de concordancia de ±0.118 unidades ARI (Figura 8B). Ambos análisis sostienen que los índices calculados a partir de una sola noche de monitoreo ambulatorio son representativos del estado crónico del paciente.</w:t>
      </w:r>
    </w:p>
    <w:p w14:paraId="15FC7446" w14:textId="77777777" w:rsidR="00DE3C30" w:rsidRDefault="00000000">
      <w:pPr>
        <w:pStyle w:val="Ttulo1"/>
        <w:spacing w:line="360" w:lineRule="auto"/>
      </w:pPr>
      <w:r>
        <w:t>4. Discusión</w:t>
      </w:r>
    </w:p>
    <w:p w14:paraId="11056984" w14:textId="51CE496C" w:rsidR="00DE3C30" w:rsidRDefault="00000000" w:rsidP="00580ACB">
      <w:pPr>
        <w:spacing w:after="120" w:line="360" w:lineRule="auto"/>
        <w:jc w:val="both"/>
      </w:pPr>
      <w:r>
        <w:t>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w:t>
      </w:r>
      <w:r w:rsidR="00580ACB">
        <w:t>25</w:t>
      </w:r>
      <w:r>
        <w:t>%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w:t>
      </w:r>
      <w:r w:rsidR="00580ACB">
        <w:t xml:space="preserve"> (</w:t>
      </w:r>
      <w:r>
        <w:t>umbral de arousal, bucle de ganancia, tono muscular</w:t>
      </w:r>
      <w:r w:rsidR="00580ACB">
        <w:t>)</w:t>
      </w:r>
      <w:r>
        <w:t xml:space="preserve"> que determinan la expresión clínica del síndrome.</w:t>
      </w:r>
    </w:p>
    <w:p w14:paraId="17AD9664" w14:textId="2AAA1706" w:rsidR="00DE3C30" w:rsidRDefault="00000000" w:rsidP="0068185B">
      <w:pPr>
        <w:spacing w:after="120" w:line="360" w:lineRule="auto"/>
        <w:jc w:val="both"/>
      </w:pPr>
      <w:r>
        <w:lastRenderedPageBreak/>
        <w:t>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w:t>
      </w:r>
      <w:r w:rsidR="00580ACB" w:rsidRPr="00580ACB">
        <w:rPr>
          <w:vertAlign w:val="superscript"/>
        </w:rPr>
        <w:t>[</w:t>
      </w:r>
      <w:r w:rsidRPr="00580ACB">
        <w:rPr>
          <w:vertAlign w:val="superscript"/>
        </w:rPr>
        <w:t>14,15</w:t>
      </w:r>
      <w:r w:rsidR="00580ACB" w:rsidRPr="00580ACB">
        <w:rPr>
          <w:vertAlign w:val="superscript"/>
        </w:rPr>
        <w:t>]</w:t>
      </w:r>
      <w:r>
        <w:t xml:space="preserve"> y podría ser relevante para una estratificación de riesgo más granular, en línea con la evidencia sobre subtipos clínicos del SAOS con implicancias pronósticas distintas.</w:t>
      </w:r>
      <w:r w:rsidR="00580ACB" w:rsidRPr="00580ACB">
        <w:rPr>
          <w:vertAlign w:val="superscript"/>
        </w:rPr>
        <w:t>[</w:t>
      </w:r>
      <w:r w:rsidRPr="00580ACB">
        <w:rPr>
          <w:vertAlign w:val="superscript"/>
        </w:rPr>
        <w:t>11,18,21</w:t>
      </w:r>
      <w:r w:rsidR="00580ACB" w:rsidRPr="00580ACB">
        <w:rPr>
          <w:vertAlign w:val="superscript"/>
        </w:rPr>
        <w:t>]</w:t>
      </w:r>
    </w:p>
    <w:p w14:paraId="796F3EF6" w14:textId="1D398060" w:rsidR="00DE3C30" w:rsidRDefault="00000000" w:rsidP="0068185B">
      <w:pPr>
        <w:spacing w:after="120" w:line="360" w:lineRule="auto"/>
        <w:jc w:val="both"/>
      </w:pPr>
      <w:r>
        <w:t xml:space="preserve">El fenómeno del silencio autonómico en C5 </w:t>
      </w:r>
      <w:r w:rsidR="00580ACB">
        <w:t>(</w:t>
      </w:r>
      <w:r>
        <w:t>ganancia de FC de 0.04 lpm/pp ante nadires de −15.3 pp</w:t>
      </w:r>
      <w:r w:rsidR="00580ACB">
        <w:t>)</w:t>
      </w:r>
      <w:r>
        <w:t xml:space="preserve"> merece atención específica. Una respuesta autonómica severamente enlentecida ante hipoxia severa podría reflejar adaptación crónica del sistema nervioso autónomo, deterioro de la sensibilidad de quimiorreceptores, o fatiga del arco reflejo del arousal.</w:t>
      </w:r>
      <w:r w:rsidR="00580ACB" w:rsidRPr="00580ACB">
        <w:rPr>
          <w:vertAlign w:val="superscript"/>
        </w:rPr>
        <w:t>[</w:t>
      </w:r>
      <w:r w:rsidRPr="00580ACB">
        <w:rPr>
          <w:vertAlign w:val="superscript"/>
        </w:rPr>
        <w:t>15,16</w:t>
      </w:r>
      <w:r w:rsidR="00580ACB" w:rsidRPr="00580ACB">
        <w:rPr>
          <w:vertAlign w:val="superscript"/>
        </w:rPr>
        <w:t>]</w:t>
      </w:r>
      <w:r>
        <w:t xml:space="preserve"> La activación tónica del quimiorreflejo en el SAOS</w:t>
      </w:r>
      <w:r w:rsidR="00580ACB" w:rsidRPr="00580ACB">
        <w:rPr>
          <w:vertAlign w:val="superscript"/>
        </w:rPr>
        <w:t>[</w:t>
      </w:r>
      <w:r w:rsidRPr="00580ACB">
        <w:rPr>
          <w:vertAlign w:val="superscript"/>
        </w:rPr>
        <w:t>17,20</w:t>
      </w:r>
      <w:r w:rsidR="00580ACB" w:rsidRPr="00580ACB">
        <w:rPr>
          <w:vertAlign w:val="superscript"/>
        </w:rPr>
        <w:t>]</w:t>
      </w:r>
      <w:r>
        <w:t xml:space="preserve"> puede derivar en daño vascular acumulado;</w:t>
      </w:r>
      <w:r w:rsidR="00580ACB" w:rsidRPr="00580ACB">
        <w:rPr>
          <w:vertAlign w:val="superscript"/>
        </w:rPr>
        <w:t>[</w:t>
      </w:r>
      <w:r w:rsidRPr="00580ACB">
        <w:rPr>
          <w:vertAlign w:val="superscript"/>
        </w:rPr>
        <w:t>19</w:t>
      </w:r>
      <w:r w:rsidR="00580ACB" w:rsidRPr="00580ACB">
        <w:rPr>
          <w:vertAlign w:val="superscript"/>
        </w:rPr>
        <w:t>]</w:t>
      </w:r>
      <w:r>
        <w:t xml:space="preserve"> sin embargo, su expresión como silencio autonómico sugiere un espectro modulado por la acumulación crónica de exposición hipóxica, potencialmente mediado por los factores inducidos por la hipoxia (HIF).</w:t>
      </w:r>
      <w:r w:rsidR="00580ACB" w:rsidRPr="00580ACB">
        <w:rPr>
          <w:vertAlign w:val="superscript"/>
        </w:rPr>
        <w:t>[</w:t>
      </w:r>
      <w:r w:rsidRPr="00580ACB">
        <w:rPr>
          <w:vertAlign w:val="superscript"/>
        </w:rPr>
        <w:t>22</w:t>
      </w:r>
      <w:r w:rsidR="00580ACB" w:rsidRPr="00580ACB">
        <w:rPr>
          <w:vertAlign w:val="superscript"/>
        </w:rPr>
        <w:t>]</w:t>
      </w:r>
    </w:p>
    <w:p w14:paraId="3BCF4BE5" w14:textId="77777777" w:rsidR="00DE3C30" w:rsidRDefault="00000000" w:rsidP="0068185B">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1A9F52A8" w14:textId="77777777" w:rsidR="00DE3C30" w:rsidRDefault="00000000">
      <w:pPr>
        <w:pStyle w:val="Ttulo1"/>
        <w:spacing w:line="360" w:lineRule="auto"/>
      </w:pPr>
      <w:r>
        <w:t>5. Conclusiones</w:t>
      </w:r>
    </w:p>
    <w:p w14:paraId="6D32AEED" w14:textId="77777777" w:rsidR="00DE3C30" w:rsidRDefault="00000000" w:rsidP="0068185B">
      <w:pPr>
        <w:spacing w:after="120" w:line="360" w:lineRule="auto"/>
        <w:jc w:val="both"/>
      </w:pPr>
      <w:r>
        <w:t>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4C6DA745" w14:textId="77777777" w:rsidR="00DE3C30" w:rsidRDefault="00000000" w:rsidP="0068185B">
      <w:pPr>
        <w:spacing w:after="120" w:line="360" w:lineRule="auto"/>
        <w:jc w:val="both"/>
      </w:pPr>
      <w:r>
        <w:lastRenderedPageBreak/>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25B6CE92" w14:textId="77777777" w:rsidR="00DE3C30" w:rsidRDefault="00000000" w:rsidP="0068185B">
      <w:pPr>
        <w:spacing w:after="120" w:line="360" w:lineRule="auto"/>
        <w:jc w:val="both"/>
      </w:pPr>
      <w:r>
        <w:t>La validación longitudinal confirma que ambas métricas son estables: el ODI3 alcanza concordancia categórica completa a partir de tres noches, y el ARI presenta MAE ya por debajo del umbral operacional con una sola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711F7BF8" w14:textId="77777777" w:rsidR="00DE3C30" w:rsidRDefault="00000000">
      <w:pPr>
        <w:pStyle w:val="Ttulo1"/>
        <w:spacing w:line="360" w:lineRule="auto"/>
      </w:pPr>
      <w:r>
        <w:t>Declaraciones</w:t>
      </w:r>
    </w:p>
    <w:p w14:paraId="5FE3DD7E" w14:textId="77777777" w:rsidR="00DE3C30" w:rsidRDefault="00000000">
      <w:pPr>
        <w:spacing w:after="120" w:line="360" w:lineRule="auto"/>
      </w:pPr>
      <w:r>
        <w:rPr>
          <w:b/>
          <w:bCs/>
        </w:rPr>
        <w:t xml:space="preserve">Conflictos de intereses: </w:t>
      </w:r>
      <w:r>
        <w:t>Los autores declaran no tener conflictos de intereses relevantes en relación con el contenido de este manuscrito.</w:t>
      </w:r>
    </w:p>
    <w:p w14:paraId="43B5031D" w14:textId="64CE822D" w:rsidR="00DE3C30"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(CLP-275001 v1.2, abril 2025) sigue los estándares ICH GCP y las regulaciones de</w:t>
      </w:r>
      <w:r w:rsidR="0068185B">
        <w:t xml:space="preserve">l </w:t>
      </w:r>
      <w:r>
        <w:t>ANMAT.</w:t>
      </w:r>
    </w:p>
    <w:p w14:paraId="12454F4C" w14:textId="77777777" w:rsidR="00DE3C30" w:rsidRDefault="00000000">
      <w:pPr>
        <w:pStyle w:val="Ttulo1"/>
        <w:spacing w:line="360" w:lineRule="auto"/>
      </w:pPr>
      <w:r>
        <w:t>Leyendas de Figuras</w:t>
      </w:r>
    </w:p>
    <w:p w14:paraId="07FFCF55" w14:textId="77777777" w:rsidR="00DE3C30" w:rsidRDefault="00000000">
      <w:pPr>
        <w:spacing w:after="120" w:line="360" w:lineRule="auto"/>
      </w:pPr>
      <w:r>
        <w:rPr>
          <w:i/>
          <w:iCs/>
        </w:rPr>
        <w:t>[Las figuras se adjuntan como archivos separados en formato JPEG/PNG a 300 dpi, nombrados según la página y párrafo del manuscrito donde se ubican.]</w:t>
      </w:r>
    </w:p>
    <w:p w14:paraId="7BC1B69C" w14:textId="77777777" w:rsidR="00DE3C30"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51876A7E" w14:textId="77777777" w:rsidR="00DE3C30" w:rsidRDefault="00000000">
      <w:pPr>
        <w:spacing w:after="120" w:line="360" w:lineRule="auto"/>
      </w:pPr>
      <w:r>
        <w:rPr>
          <w:b/>
          <w:bCs/>
        </w:rPr>
        <w:t xml:space="preserve">Figura 2. </w:t>
      </w:r>
      <w:r>
        <w:t xml:space="preserve">Selección del número de clusters y perfiles morfológicos de los EDOs. (a) Silhouette score vs. número de clusters; k=5 seleccionado por interpretabilidad fisiológica. </w:t>
      </w:r>
      <w:r>
        <w:lastRenderedPageBreak/>
        <w:t>(b) Distribución de eventos por morfotipo. (c) Curvas de SpO₂ normalizada (mediana ± IQR) y centroide por cluster.</w:t>
      </w:r>
    </w:p>
    <w:p w14:paraId="530D4C4C" w14:textId="77777777" w:rsidR="00DE3C30"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4034E85C" w14:textId="77777777" w:rsidR="00DE3C30"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48C2E8B7" w14:textId="77777777" w:rsidR="00DE3C30"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8667F68" w14:textId="77777777" w:rsidR="00DE3C30" w:rsidRDefault="00000000">
      <w:pPr>
        <w:spacing w:after="120" w:line="360" w:lineRule="auto"/>
      </w:pPr>
      <w:r>
        <w:rPr>
          <w:b/>
          <w:bCs/>
        </w:rPr>
        <w:t xml:space="preserve">Figura 6. </w:t>
      </w:r>
      <w:r>
        <w:t>Análisis intra-estrato: variables clínicas por subgrupo de ARI (alto vs. bajo) dentro de cada estrato ODI3. (a) Ganancia de FC (lpm/pp). (b) Fracción de eventos C4+C5. (c) T90. El ODI3 no difiere entre subgrupos en ningún estrato (ns).</w:t>
      </w:r>
    </w:p>
    <w:p w14:paraId="0F32AB33" w14:textId="77777777" w:rsidR="00DE3C30"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25DE8517" w14:textId="77777777" w:rsidR="00DE3C30"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64A49AB8" w14:textId="77777777" w:rsidR="00DE3C30" w:rsidRDefault="00000000">
      <w:pPr>
        <w:pStyle w:val="Ttulo1"/>
        <w:spacing w:line="360" w:lineRule="auto"/>
      </w:pPr>
      <w:r>
        <w:t>Referencias</w:t>
      </w:r>
    </w:p>
    <w:p w14:paraId="19D07D1B" w14:textId="77777777" w:rsidR="00DE3C30"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6E5C3CBD" w14:textId="77777777" w:rsidR="00DE3C30" w:rsidRDefault="00000000">
      <w:pPr>
        <w:spacing w:after="120" w:line="360" w:lineRule="auto"/>
      </w:pPr>
      <w:r>
        <w:t>2. Peppard PE, Young T, Barnet JH, Palta M, Hagen EW, Hla KM. Increased prevalence of sleep-disordered breathing in adults. Am J Epidemiol. 2013;177(9):1006–1014. https://doi.org/10.1093/aje/kws342</w:t>
      </w:r>
    </w:p>
    <w:p w14:paraId="639306E2" w14:textId="77777777" w:rsidR="00DE3C30" w:rsidRDefault="00000000">
      <w:pPr>
        <w:spacing w:after="120" w:line="360" w:lineRule="auto"/>
      </w:pPr>
      <w:r>
        <w:lastRenderedPageBreak/>
        <w:t>3. Punjabi NM, Caffo BS, Goodwin JL, et al. Sleep-disordered breathing and mortality: a prospective cohort study. PLoS Med. 2009;6(8):e1000132. https://doi.org/10.1371/journal.pmed.1000132</w:t>
      </w:r>
    </w:p>
    <w:p w14:paraId="1A7BFF6B" w14:textId="77777777" w:rsidR="00DE3C30" w:rsidRDefault="00000000">
      <w:pPr>
        <w:spacing w:after="120" w:line="360" w:lineRule="auto"/>
      </w:pPr>
      <w:r>
        <w:t>4. Berry RB, Brooks R, Gamaldo CE, et al. AASM Manual for the Scoring of Sleep and Associated Events. Version 2.6. Darien, IL: American Academy of Sleep Medicine; 2020.</w:t>
      </w:r>
    </w:p>
    <w:p w14:paraId="22027441" w14:textId="77777777" w:rsidR="00DE3C30"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5332A6EC" w14:textId="77777777" w:rsidR="00DE3C30"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593A863F" w14:textId="77777777" w:rsidR="00DE3C30" w:rsidRDefault="00000000">
      <w:pPr>
        <w:spacing w:after="120" w:line="360" w:lineRule="auto"/>
      </w:pPr>
      <w:r>
        <w:t>7. Collop NA, Anderson WM, Boehlecke B, et al. Clinical guidelines for the use of unattended portable monitors in the diagnosis of obstructive sleep apnea in adult patients. J Clin Sleep Med. 2007;3(7):737–747. https://doi.org/10.5664/jcsm.26925</w:t>
      </w:r>
    </w:p>
    <w:p w14:paraId="353D08E9" w14:textId="77777777" w:rsidR="00DE3C30" w:rsidRDefault="00000000">
      <w:pPr>
        <w:spacing w:after="120" w:line="360" w:lineRule="auto"/>
      </w:pPr>
      <w:r>
        <w:t>8. Bittencourt LR, Suchecki D, Tufik S, et al. The variability of the apnoea-hypopnoea index. J Sleep Res. 2001;10(3):245–251. https://doi.org/10.1046/j.1365-2869.2001.00255.x</w:t>
      </w:r>
    </w:p>
    <w:p w14:paraId="018BAD50" w14:textId="77777777" w:rsidR="00DE3C30" w:rsidRDefault="00000000">
      <w:pPr>
        <w:spacing w:after="120" w:line="360" w:lineRule="auto"/>
      </w:pPr>
      <w:r>
        <w:t>9. Levendowski DJ, Zack N, Rao S, et al. Assessment of the test-retest reliability of laboratory polysomnography. Sleep Breath. 2009;13(2):163–167. https://doi.org/10.1007/s11325-008-0214-6</w:t>
      </w:r>
    </w:p>
    <w:p w14:paraId="6684814B" w14:textId="77777777" w:rsidR="00DE3C30"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04611309" w14:textId="77777777" w:rsidR="00DE3C30" w:rsidRDefault="00000000">
      <w:pPr>
        <w:spacing w:after="120" w:line="360" w:lineRule="auto"/>
      </w:pPr>
      <w:r>
        <w:t>11. Ye L, Pien GW, Ratcliffe SJ, et al. The different clinical faces of obstructive sleep apnoea: a cluster analysis. Eur Respir J. 2014;44(6):1600–1607. https://doi.org/10.1183/09031936.00032314</w:t>
      </w:r>
    </w:p>
    <w:p w14:paraId="1B23F7B8" w14:textId="77777777" w:rsidR="00DE3C30" w:rsidRDefault="00000000">
      <w:pPr>
        <w:spacing w:after="120" w:line="360" w:lineRule="auto"/>
      </w:pPr>
      <w:r>
        <w:t>12. Shrout PE, Fleiss JL. Intraclass correlations: uses in assessing rater reliability. Psychol Bull. 1979;86(2):420–428. https://doi.org/10.1037/0033-2909.86.2.420</w:t>
      </w:r>
    </w:p>
    <w:p w14:paraId="4DE31134" w14:textId="77777777" w:rsidR="00DE3C30" w:rsidRDefault="00000000">
      <w:pPr>
        <w:spacing w:after="120" w:line="360" w:lineRule="auto"/>
      </w:pPr>
      <w:r>
        <w:t>13. Bland JM, Altman DG. Statistical methods for assessing agreement between two methods of clinical measurement. Lancet. 1986;1(8476):307–310. https://doi.org/10.1016/S0140-6736(86)90837-8</w:t>
      </w:r>
    </w:p>
    <w:p w14:paraId="1B17DD0C" w14:textId="77777777" w:rsidR="00DE3C30" w:rsidRDefault="00000000">
      <w:pPr>
        <w:spacing w:after="120" w:line="360" w:lineRule="auto"/>
      </w:pPr>
      <w:r>
        <w:lastRenderedPageBreak/>
        <w:t>14. Somers VK, Dyken ME, Mark AL, Abboud FM. Sympathetic-nerve activity during sleep in normal subjects. N Engl J Med. 1993;328(5):303–307. https://doi.org/10.1056/NEJM199302043280502</w:t>
      </w:r>
    </w:p>
    <w:p w14:paraId="7D87D113" w14:textId="77777777" w:rsidR="00DE3C30" w:rsidRDefault="00000000">
      <w:pPr>
        <w:spacing w:after="120" w:line="360" w:lineRule="auto"/>
      </w:pPr>
      <w:r>
        <w:t>15. Dempsey JA, Veasey SC, Morgan BJ, O’Donnell CP. Pathophysiology of sleep apnea. Physiol Rev. 2010;90(1):47–112. https://doi.org/10.1152/physrev.00043.2008</w:t>
      </w:r>
    </w:p>
    <w:p w14:paraId="5E6CBD30" w14:textId="77777777" w:rsidR="00DE3C30" w:rsidRDefault="00000000">
      <w:pPr>
        <w:spacing w:after="120" w:line="360" w:lineRule="auto"/>
      </w:pPr>
      <w:r>
        <w:t>16. Shamsuzzaman AS, Gersh BJ, Somers VK. Obstructive sleep apnea: implications for cardiac and vascular disease. JAMA. 2003;290(14):1906–1914. https://doi.org/10.1001/jama.290.14.1906</w:t>
      </w:r>
    </w:p>
    <w:p w14:paraId="0CA2BAE0" w14:textId="77777777" w:rsidR="00DE3C30" w:rsidRDefault="00000000">
      <w:pPr>
        <w:spacing w:after="120" w:line="360" w:lineRule="auto"/>
      </w:pPr>
      <w:r>
        <w:t>17. Narkiewicz K, Somers VK. Sympathetic nerve activity in obstructive sleep apnoea. Acta Physiol Scand. 2003;177(3):385–390. https://doi.org/10.1046/j.1365-201X.2003.01091.x</w:t>
      </w:r>
    </w:p>
    <w:p w14:paraId="59E7CE15" w14:textId="77777777" w:rsidR="00DE3C30" w:rsidRDefault="00000000">
      <w:pPr>
        <w:spacing w:after="120" w:line="360" w:lineRule="auto"/>
      </w:pPr>
      <w:r>
        <w:t>18. Zinchuk AV, Yaggi HK. Phenotypic subtypes of OSA: a challenge and opportunity for precision medicine. Chest. 2020;157(2):403–420. https://doi.org/10.1016/j.chest.2019.09.002</w:t>
      </w:r>
    </w:p>
    <w:p w14:paraId="2CD9EA00" w14:textId="77777777" w:rsidR="00DE3C30" w:rsidRDefault="00000000">
      <w:pPr>
        <w:spacing w:after="120" w:line="360" w:lineRule="auto"/>
      </w:pPr>
      <w:r>
        <w:t>19. Kohler M, Stradling JR. Mechanisms of vascular damage in obstructive sleep apnea. Nat Rev Cardiol. 2010;7(12):677–685. https://doi.org/10.1038/nrcardio.2010.145</w:t>
      </w:r>
    </w:p>
    <w:p w14:paraId="3EF2CAD5" w14:textId="77777777" w:rsidR="00DE3C30"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035C1623" w14:textId="77777777" w:rsidR="00DE3C30" w:rsidRDefault="00000000">
      <w:pPr>
        <w:spacing w:after="120" w:line="360" w:lineRule="auto"/>
      </w:pPr>
      <w:r>
        <w:t>21. Bailly S, Destors M, Grillet Y, et al. Obstructive sleep apnea: a cluster analysis at time of diagnosis. PLoS One. 2016;11(6):e0157318. https://doi.org/10.1371/journal.pone.0157318</w:t>
      </w:r>
    </w:p>
    <w:p w14:paraId="7EC9FE80" w14:textId="77777777" w:rsidR="00DE3C30"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263560C6" w14:textId="77777777" w:rsidR="00DE3C30"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DE3C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91A0E"/>
    <w:multiLevelType w:val="hybridMultilevel"/>
    <w:tmpl w:val="64DCACDA"/>
    <w:lvl w:ilvl="0" w:tplc="9264807C">
      <w:start w:val="1"/>
      <w:numFmt w:val="bullet"/>
      <w:lvlText w:val="●"/>
      <w:lvlJc w:val="left"/>
      <w:pPr>
        <w:ind w:left="720" w:hanging="360"/>
      </w:pPr>
    </w:lvl>
    <w:lvl w:ilvl="1" w:tplc="8234A2DE">
      <w:start w:val="1"/>
      <w:numFmt w:val="bullet"/>
      <w:lvlText w:val="○"/>
      <w:lvlJc w:val="left"/>
      <w:pPr>
        <w:ind w:left="1440" w:hanging="360"/>
      </w:pPr>
    </w:lvl>
    <w:lvl w:ilvl="2" w:tplc="C2FE1A72">
      <w:start w:val="1"/>
      <w:numFmt w:val="bullet"/>
      <w:lvlText w:val="■"/>
      <w:lvlJc w:val="left"/>
      <w:pPr>
        <w:ind w:left="2160" w:hanging="360"/>
      </w:pPr>
    </w:lvl>
    <w:lvl w:ilvl="3" w:tplc="0F5A443E">
      <w:start w:val="1"/>
      <w:numFmt w:val="bullet"/>
      <w:lvlText w:val="●"/>
      <w:lvlJc w:val="left"/>
      <w:pPr>
        <w:ind w:left="2880" w:hanging="360"/>
      </w:pPr>
    </w:lvl>
    <w:lvl w:ilvl="4" w:tplc="77E64A24">
      <w:start w:val="1"/>
      <w:numFmt w:val="bullet"/>
      <w:lvlText w:val="○"/>
      <w:lvlJc w:val="left"/>
      <w:pPr>
        <w:ind w:left="3600" w:hanging="360"/>
      </w:pPr>
    </w:lvl>
    <w:lvl w:ilvl="5" w:tplc="99E2FF50">
      <w:start w:val="1"/>
      <w:numFmt w:val="bullet"/>
      <w:lvlText w:val="■"/>
      <w:lvlJc w:val="left"/>
      <w:pPr>
        <w:ind w:left="4320" w:hanging="360"/>
      </w:pPr>
    </w:lvl>
    <w:lvl w:ilvl="6" w:tplc="525C04E0">
      <w:start w:val="1"/>
      <w:numFmt w:val="bullet"/>
      <w:lvlText w:val="●"/>
      <w:lvlJc w:val="left"/>
      <w:pPr>
        <w:ind w:left="5040" w:hanging="360"/>
      </w:pPr>
    </w:lvl>
    <w:lvl w:ilvl="7" w:tplc="457C029A">
      <w:start w:val="1"/>
      <w:numFmt w:val="bullet"/>
      <w:lvlText w:val="●"/>
      <w:lvlJc w:val="left"/>
      <w:pPr>
        <w:ind w:left="5760" w:hanging="360"/>
      </w:pPr>
    </w:lvl>
    <w:lvl w:ilvl="8" w:tplc="4700554E">
      <w:start w:val="1"/>
      <w:numFmt w:val="bullet"/>
      <w:lvlText w:val="●"/>
      <w:lvlJc w:val="left"/>
      <w:pPr>
        <w:ind w:left="6480" w:hanging="360"/>
      </w:pPr>
    </w:lvl>
  </w:abstractNum>
  <w:num w:numId="1" w16cid:durableId="1874028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C30"/>
    <w:rsid w:val="0026744D"/>
    <w:rsid w:val="004300DD"/>
    <w:rsid w:val="0044129A"/>
    <w:rsid w:val="00560CB1"/>
    <w:rsid w:val="00580ACB"/>
    <w:rsid w:val="0068185B"/>
    <w:rsid w:val="00755F20"/>
    <w:rsid w:val="00A85F73"/>
    <w:rsid w:val="00B80E21"/>
    <w:rsid w:val="00C8065C"/>
    <w:rsid w:val="00DE3C30"/>
    <w:rsid w:val="00EA3386"/>
    <w:rsid w:val="00ED65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9989B3"/>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EA3386"/>
    <w:rPr>
      <w:rFonts w:ascii="Courier New" w:eastAsia="Times New Roman" w:hAnsi="Courier New" w:cs="Courier New"/>
      <w:sz w:val="20"/>
      <w:szCs w:val="20"/>
    </w:rPr>
  </w:style>
  <w:style w:type="character" w:styleId="Fuerte">
    <w:name w:val="Strong"/>
    <w:basedOn w:val="Fuentedeprrafopredeter"/>
    <w:uiPriority w:val="22"/>
    <w:qFormat/>
    <w:rsid w:val="00EA3386"/>
    <w:rPr>
      <w:b/>
      <w:bCs/>
    </w:rPr>
  </w:style>
  <w:style w:type="character" w:styleId="Mencinsinresolver">
    <w:name w:val="Unresolved Mention"/>
    <w:basedOn w:val="Fuentedeprrafopredeter"/>
    <w:uiPriority w:val="99"/>
    <w:semiHidden/>
    <w:unhideWhenUsed/>
    <w:rsid w:val="00B80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4434</Words>
  <Characters>26739</Characters>
  <Application>Microsoft Office Word</Application>
  <DocSecurity>0</DocSecurity>
  <Lines>557</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9</cp:revision>
  <dcterms:created xsi:type="dcterms:W3CDTF">2026-05-22T18:06:00Z</dcterms:created>
  <dcterms:modified xsi:type="dcterms:W3CDTF">2026-05-23T00:04:00Z</dcterms:modified>
</cp:coreProperties>
</file>